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CE494" w14:textId="4E22425B" w:rsidR="00597536" w:rsidRDefault="00627CBF" w:rsidP="00597536">
      <w:pPr>
        <w:rPr>
          <w:b/>
        </w:rPr>
      </w:pPr>
      <w:r>
        <w:rPr>
          <w:b/>
          <w:noProof/>
        </w:rPr>
        <w:drawing>
          <wp:anchor distT="0" distB="0" distL="114300" distR="114300" simplePos="0" relativeHeight="251664384" behindDoc="0" locked="0" layoutInCell="1" allowOverlap="1" wp14:anchorId="13588836" wp14:editId="54D54FB6">
            <wp:simplePos x="0" y="0"/>
            <wp:positionH relativeFrom="page">
              <wp:align>left</wp:align>
            </wp:positionH>
            <wp:positionV relativeFrom="paragraph">
              <wp:posOffset>-1121410</wp:posOffset>
            </wp:positionV>
            <wp:extent cx="7660640" cy="10837552"/>
            <wp:effectExtent l="0" t="0" r="0" b="1905"/>
            <wp:wrapNone/>
            <wp:docPr id="1173115583" name="Immagine 1" descr="Immagine che contiene testo, schermata,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583" name="Immagine 1" descr="Immagine che contiene testo, schermata, Carattere, grafic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640" cy="10837552"/>
                    </a:xfrm>
                    <a:prstGeom prst="rect">
                      <a:avLst/>
                    </a:prstGeom>
                  </pic:spPr>
                </pic:pic>
              </a:graphicData>
            </a:graphic>
            <wp14:sizeRelH relativeFrom="margin">
              <wp14:pctWidth>0</wp14:pctWidth>
            </wp14:sizeRelH>
            <wp14:sizeRelV relativeFrom="margin">
              <wp14:pctHeight>0</wp14:pctHeight>
            </wp14:sizeRelV>
          </wp:anchor>
        </w:drawing>
      </w:r>
    </w:p>
    <w:p w14:paraId="3AC74954" w14:textId="02EBD856" w:rsidR="00564E7D" w:rsidRDefault="00564E7D" w:rsidP="00597536">
      <w:pPr>
        <w:rPr>
          <w:b/>
        </w:rPr>
      </w:pPr>
    </w:p>
    <w:p w14:paraId="78C8708E" w14:textId="77777777" w:rsidR="00564E7D" w:rsidRDefault="00564E7D" w:rsidP="00597536">
      <w:pPr>
        <w:rPr>
          <w:b/>
        </w:rPr>
      </w:pPr>
    </w:p>
    <w:p w14:paraId="54E298F9" w14:textId="77777777" w:rsidR="00564E7D" w:rsidRDefault="00564E7D" w:rsidP="00597536">
      <w:pPr>
        <w:rPr>
          <w:b/>
        </w:rPr>
      </w:pPr>
    </w:p>
    <w:p w14:paraId="08AF90C7" w14:textId="77777777" w:rsidR="00564E7D" w:rsidRDefault="00564E7D" w:rsidP="00597536">
      <w:pPr>
        <w:rPr>
          <w:b/>
        </w:rPr>
      </w:pPr>
    </w:p>
    <w:p w14:paraId="281E1CC4" w14:textId="77777777" w:rsidR="00564E7D" w:rsidRDefault="00564E7D" w:rsidP="00597536">
      <w:pPr>
        <w:rPr>
          <w:b/>
        </w:rPr>
      </w:pPr>
    </w:p>
    <w:p w14:paraId="5AB8595A" w14:textId="77777777" w:rsidR="00564E7D" w:rsidRDefault="00564E7D" w:rsidP="00597536">
      <w:pPr>
        <w:rPr>
          <w:b/>
        </w:rPr>
      </w:pPr>
    </w:p>
    <w:p w14:paraId="170662A9" w14:textId="77777777" w:rsidR="00564E7D" w:rsidRDefault="00564E7D" w:rsidP="00597536">
      <w:pPr>
        <w:rPr>
          <w:b/>
        </w:rPr>
      </w:pPr>
    </w:p>
    <w:p w14:paraId="07FCBD22" w14:textId="77777777" w:rsidR="00564E7D" w:rsidRDefault="00564E7D" w:rsidP="00597536">
      <w:pPr>
        <w:rPr>
          <w:b/>
        </w:rPr>
      </w:pPr>
    </w:p>
    <w:p w14:paraId="737CC92B" w14:textId="77777777" w:rsidR="00564E7D" w:rsidRDefault="00564E7D" w:rsidP="00597536">
      <w:pPr>
        <w:rPr>
          <w:b/>
        </w:rPr>
      </w:pPr>
    </w:p>
    <w:p w14:paraId="187E0D1C" w14:textId="77777777" w:rsidR="00564E7D" w:rsidRDefault="00564E7D" w:rsidP="00597536">
      <w:pPr>
        <w:rPr>
          <w:b/>
        </w:rPr>
      </w:pPr>
    </w:p>
    <w:p w14:paraId="7064F1A3" w14:textId="77777777" w:rsidR="00564E7D" w:rsidRDefault="00564E7D" w:rsidP="00597536">
      <w:pPr>
        <w:rPr>
          <w:b/>
        </w:rPr>
      </w:pPr>
    </w:p>
    <w:p w14:paraId="187C5EEE" w14:textId="77777777" w:rsidR="00564E7D" w:rsidRDefault="00564E7D" w:rsidP="00597536">
      <w:pPr>
        <w:rPr>
          <w:b/>
        </w:rPr>
      </w:pPr>
    </w:p>
    <w:p w14:paraId="597C3EC0" w14:textId="77777777" w:rsidR="00564E7D" w:rsidRDefault="00564E7D" w:rsidP="00597536">
      <w:pPr>
        <w:rPr>
          <w:b/>
        </w:rPr>
      </w:pPr>
    </w:p>
    <w:p w14:paraId="680342EF" w14:textId="77777777" w:rsidR="00564E7D" w:rsidRDefault="00564E7D" w:rsidP="00597536">
      <w:pPr>
        <w:rPr>
          <w:b/>
        </w:rPr>
      </w:pPr>
    </w:p>
    <w:p w14:paraId="0A9FE2A6" w14:textId="77777777" w:rsidR="00564E7D" w:rsidRDefault="00564E7D" w:rsidP="00597536">
      <w:pPr>
        <w:rPr>
          <w:b/>
        </w:rPr>
      </w:pPr>
    </w:p>
    <w:p w14:paraId="0DE58239" w14:textId="77777777" w:rsidR="00564E7D" w:rsidRDefault="00564E7D" w:rsidP="00597536">
      <w:pPr>
        <w:rPr>
          <w:b/>
        </w:rPr>
      </w:pPr>
    </w:p>
    <w:p w14:paraId="73FB1469" w14:textId="77777777" w:rsidR="00564E7D" w:rsidRDefault="00564E7D" w:rsidP="00597536">
      <w:pPr>
        <w:rPr>
          <w:b/>
        </w:rPr>
      </w:pPr>
    </w:p>
    <w:p w14:paraId="131C9F4A" w14:textId="77777777" w:rsidR="00564E7D" w:rsidRDefault="00564E7D" w:rsidP="00597536">
      <w:pPr>
        <w:rPr>
          <w:b/>
        </w:rPr>
      </w:pPr>
    </w:p>
    <w:p w14:paraId="3DD09405" w14:textId="77777777" w:rsidR="00564E7D" w:rsidRDefault="00564E7D" w:rsidP="00597536">
      <w:pPr>
        <w:rPr>
          <w:b/>
        </w:rPr>
      </w:pPr>
    </w:p>
    <w:p w14:paraId="66C63CD6" w14:textId="77777777" w:rsidR="00564E7D" w:rsidRDefault="00564E7D" w:rsidP="00597536">
      <w:pPr>
        <w:rPr>
          <w:b/>
        </w:rPr>
      </w:pPr>
    </w:p>
    <w:p w14:paraId="7AD3A0E9" w14:textId="77777777" w:rsidR="00564E7D" w:rsidRDefault="00564E7D" w:rsidP="00597536">
      <w:pPr>
        <w:rPr>
          <w:b/>
        </w:rPr>
      </w:pPr>
    </w:p>
    <w:p w14:paraId="2526FDC1" w14:textId="77777777" w:rsidR="00564E7D" w:rsidRDefault="00564E7D" w:rsidP="00597536">
      <w:pPr>
        <w:rPr>
          <w:b/>
        </w:rPr>
      </w:pPr>
    </w:p>
    <w:p w14:paraId="60F0DB9E" w14:textId="77777777" w:rsidR="00564E7D" w:rsidRDefault="00564E7D" w:rsidP="00597536">
      <w:pPr>
        <w:rPr>
          <w:b/>
        </w:rPr>
      </w:pPr>
    </w:p>
    <w:p w14:paraId="38FEBF03" w14:textId="77777777" w:rsidR="00564E7D" w:rsidRDefault="00564E7D" w:rsidP="00597536">
      <w:pPr>
        <w:rPr>
          <w:b/>
        </w:rPr>
      </w:pPr>
    </w:p>
    <w:p w14:paraId="3A90C370" w14:textId="77777777" w:rsidR="00564E7D" w:rsidRDefault="00564E7D" w:rsidP="00597536">
      <w:pPr>
        <w:rPr>
          <w:b/>
        </w:rPr>
      </w:pPr>
    </w:p>
    <w:p w14:paraId="32B96B6A" w14:textId="77777777" w:rsidR="00564E7D" w:rsidRDefault="00564E7D" w:rsidP="00597536">
      <w:pPr>
        <w:rPr>
          <w:b/>
        </w:rPr>
      </w:pPr>
    </w:p>
    <w:p w14:paraId="45489408" w14:textId="77777777" w:rsidR="00564E7D" w:rsidRDefault="00564E7D" w:rsidP="00597536">
      <w:pPr>
        <w:rPr>
          <w:b/>
        </w:rPr>
      </w:pPr>
    </w:p>
    <w:p w14:paraId="69860100" w14:textId="77777777" w:rsidR="00564E7D" w:rsidRDefault="00564E7D" w:rsidP="00597536">
      <w:pPr>
        <w:rPr>
          <w:b/>
        </w:rPr>
      </w:pPr>
    </w:p>
    <w:p w14:paraId="6201253F" w14:textId="77777777" w:rsidR="00564E7D" w:rsidRDefault="00564E7D" w:rsidP="00597536">
      <w:pPr>
        <w:rPr>
          <w:b/>
        </w:rPr>
      </w:pPr>
    </w:p>
    <w:p w14:paraId="2937EBF1" w14:textId="77777777" w:rsidR="00564E7D" w:rsidRDefault="00564E7D" w:rsidP="00597536">
      <w:pPr>
        <w:rPr>
          <w:b/>
        </w:rPr>
      </w:pPr>
    </w:p>
    <w:p w14:paraId="35EB6611" w14:textId="77777777" w:rsidR="00564E7D" w:rsidRDefault="00564E7D" w:rsidP="00597536">
      <w:pPr>
        <w:rPr>
          <w:b/>
        </w:rPr>
      </w:pPr>
    </w:p>
    <w:p w14:paraId="742F6082" w14:textId="77777777" w:rsidR="00564E7D" w:rsidRDefault="00564E7D" w:rsidP="00597536">
      <w:pPr>
        <w:rPr>
          <w:b/>
        </w:rPr>
      </w:pPr>
    </w:p>
    <w:p w14:paraId="1A6106BE" w14:textId="77777777" w:rsidR="00564E7D" w:rsidRDefault="00564E7D" w:rsidP="00597536">
      <w:pPr>
        <w:rPr>
          <w:b/>
        </w:rPr>
      </w:pPr>
    </w:p>
    <w:p w14:paraId="6ACDA8EA" w14:textId="77777777" w:rsidR="00564E7D" w:rsidRDefault="00564E7D" w:rsidP="00597536">
      <w:pPr>
        <w:rPr>
          <w:b/>
        </w:rPr>
      </w:pPr>
    </w:p>
    <w:p w14:paraId="24F6F0C9" w14:textId="77777777" w:rsidR="00564E7D" w:rsidRDefault="00564E7D" w:rsidP="00597536">
      <w:pPr>
        <w:rPr>
          <w:b/>
        </w:rPr>
      </w:pPr>
    </w:p>
    <w:p w14:paraId="3BF1FC88" w14:textId="77777777" w:rsidR="00564E7D" w:rsidRDefault="00564E7D" w:rsidP="00597536">
      <w:pPr>
        <w:rPr>
          <w:b/>
        </w:rPr>
      </w:pPr>
    </w:p>
    <w:p w14:paraId="1EF5E495" w14:textId="77777777" w:rsidR="00564E7D" w:rsidRDefault="00564E7D" w:rsidP="00597536">
      <w:pPr>
        <w:rPr>
          <w:b/>
        </w:rPr>
      </w:pPr>
    </w:p>
    <w:p w14:paraId="1EEC93BE" w14:textId="77777777" w:rsidR="00564E7D" w:rsidRDefault="00564E7D" w:rsidP="00597536">
      <w:pPr>
        <w:rPr>
          <w:b/>
        </w:rPr>
      </w:pPr>
    </w:p>
    <w:p w14:paraId="32BB28FC" w14:textId="77777777" w:rsidR="00564E7D" w:rsidRDefault="00564E7D" w:rsidP="00597536">
      <w:pPr>
        <w:rPr>
          <w:b/>
        </w:rPr>
      </w:pPr>
    </w:p>
    <w:p w14:paraId="565BBA43" w14:textId="77777777" w:rsidR="00564E7D" w:rsidRDefault="00564E7D" w:rsidP="00597536">
      <w:pPr>
        <w:rPr>
          <w:b/>
        </w:rPr>
      </w:pPr>
    </w:p>
    <w:p w14:paraId="241AD9D1" w14:textId="77777777" w:rsidR="00564E7D" w:rsidRDefault="00564E7D" w:rsidP="00597536">
      <w:pPr>
        <w:rPr>
          <w:b/>
        </w:rPr>
      </w:pPr>
    </w:p>
    <w:p w14:paraId="180151FC" w14:textId="77777777" w:rsidR="00564E7D" w:rsidRDefault="00564E7D" w:rsidP="00597536">
      <w:pPr>
        <w:rPr>
          <w:b/>
        </w:rPr>
      </w:pPr>
    </w:p>
    <w:p w14:paraId="3DB12B85" w14:textId="77777777" w:rsidR="00564E7D" w:rsidRDefault="00564E7D" w:rsidP="00597536">
      <w:pPr>
        <w:rPr>
          <w:b/>
        </w:rPr>
      </w:pPr>
    </w:p>
    <w:p w14:paraId="2648B269" w14:textId="77777777" w:rsidR="00564E7D" w:rsidRDefault="00564E7D" w:rsidP="00597536">
      <w:pPr>
        <w:rPr>
          <w:b/>
        </w:rPr>
      </w:pPr>
    </w:p>
    <w:p w14:paraId="395ECD2C" w14:textId="77777777" w:rsidR="00564E7D" w:rsidRDefault="00564E7D" w:rsidP="00597536">
      <w:pPr>
        <w:rPr>
          <w:b/>
        </w:rPr>
      </w:pPr>
    </w:p>
    <w:p w14:paraId="4C499AAC" w14:textId="77777777" w:rsidR="00564E7D" w:rsidRDefault="00564E7D" w:rsidP="00597536">
      <w:pPr>
        <w:rPr>
          <w:b/>
        </w:rPr>
      </w:pPr>
    </w:p>
    <w:p w14:paraId="5942EA75" w14:textId="77777777" w:rsidR="00564E7D" w:rsidRDefault="00564E7D" w:rsidP="00597536">
      <w:pPr>
        <w:rPr>
          <w:b/>
        </w:rPr>
      </w:pPr>
    </w:p>
    <w:p w14:paraId="6B72A690" w14:textId="77777777" w:rsidR="00564E7D" w:rsidRDefault="00564E7D" w:rsidP="00597536">
      <w:pPr>
        <w:rPr>
          <w:b/>
        </w:rPr>
      </w:pPr>
    </w:p>
    <w:p w14:paraId="6F4CCC65" w14:textId="77777777" w:rsidR="00564E7D" w:rsidRDefault="00564E7D" w:rsidP="00597536">
      <w:pPr>
        <w:rPr>
          <w:b/>
        </w:rPr>
      </w:pPr>
    </w:p>
    <w:p w14:paraId="3CB9C6C6" w14:textId="77777777" w:rsidR="00597536" w:rsidRDefault="00597536" w:rsidP="00597536">
      <w:pPr>
        <w:rPr>
          <w:b/>
        </w:rPr>
      </w:pPr>
      <w:r>
        <w:rPr>
          <w:b/>
        </w:rPr>
        <w:t xml:space="preserve">Quadro generale a cura di: </w:t>
      </w:r>
    </w:p>
    <w:p w14:paraId="3E0B7EEF" w14:textId="77777777" w:rsidR="00597536" w:rsidRDefault="00597536" w:rsidP="00597536">
      <w:pPr>
        <w:rPr>
          <w:bCs/>
        </w:rPr>
      </w:pPr>
    </w:p>
    <w:p w14:paraId="5A116AF8" w14:textId="77777777" w:rsidR="00597536" w:rsidRPr="000244BE" w:rsidRDefault="00597536" w:rsidP="00597536">
      <w:pPr>
        <w:rPr>
          <w:bCs/>
        </w:rPr>
      </w:pPr>
      <w:r w:rsidRPr="000244BE">
        <w:rPr>
          <w:bCs/>
        </w:rPr>
        <w:t>Ivano Gio</w:t>
      </w:r>
      <w:r>
        <w:rPr>
          <w:bCs/>
        </w:rPr>
        <w:t>i</w:t>
      </w:r>
      <w:r w:rsidRPr="000244BE">
        <w:rPr>
          <w:bCs/>
        </w:rPr>
        <w:t xml:space="preserve">a: </w:t>
      </w:r>
      <w:r>
        <w:rPr>
          <w:bCs/>
        </w:rPr>
        <w:t>r</w:t>
      </w:r>
      <w:r w:rsidRPr="000244BE">
        <w:rPr>
          <w:bCs/>
        </w:rPr>
        <w:t xml:space="preserve">esponsabile </w:t>
      </w:r>
      <w:r>
        <w:rPr>
          <w:bCs/>
        </w:rPr>
        <w:t>s</w:t>
      </w:r>
      <w:r w:rsidRPr="000244BE">
        <w:rPr>
          <w:bCs/>
        </w:rPr>
        <w:t xml:space="preserve">cenari </w:t>
      </w:r>
      <w:proofErr w:type="gramStart"/>
      <w:r>
        <w:rPr>
          <w:bCs/>
        </w:rPr>
        <w:t>e</w:t>
      </w:r>
      <w:r w:rsidRPr="000244BE">
        <w:rPr>
          <w:bCs/>
        </w:rPr>
        <w:t xml:space="preserve">conomici </w:t>
      </w:r>
      <w:r>
        <w:rPr>
          <w:bCs/>
        </w:rPr>
        <w:t xml:space="preserve"> </w:t>
      </w:r>
      <w:r w:rsidRPr="000244BE">
        <w:rPr>
          <w:bCs/>
        </w:rPr>
        <w:t>SACE</w:t>
      </w:r>
      <w:proofErr w:type="gramEnd"/>
    </w:p>
    <w:p w14:paraId="69418542" w14:textId="77777777" w:rsidR="00597536" w:rsidRDefault="00597536" w:rsidP="00597536">
      <w:pPr>
        <w:rPr>
          <w:b/>
        </w:rPr>
      </w:pPr>
    </w:p>
    <w:p w14:paraId="11A214AA" w14:textId="77777777" w:rsidR="00597536" w:rsidRPr="000244BE" w:rsidRDefault="00597536" w:rsidP="00597536">
      <w:pPr>
        <w:rPr>
          <w:bCs/>
        </w:rPr>
      </w:pPr>
      <w:r w:rsidRPr="000244BE">
        <w:rPr>
          <w:bCs/>
        </w:rPr>
        <w:t>Cecilia Guagnini</w:t>
      </w:r>
      <w:r>
        <w:rPr>
          <w:bCs/>
        </w:rPr>
        <w:t>: analista scenari economici SACE</w:t>
      </w:r>
    </w:p>
    <w:p w14:paraId="11FF6F83" w14:textId="77777777" w:rsidR="00597536" w:rsidRDefault="00597536" w:rsidP="00597536">
      <w:pPr>
        <w:rPr>
          <w:b/>
        </w:rPr>
      </w:pPr>
    </w:p>
    <w:p w14:paraId="0F65BF72" w14:textId="77777777" w:rsidR="00597536" w:rsidRDefault="00597536" w:rsidP="00597536">
      <w:pPr>
        <w:rPr>
          <w:b/>
          <w:bCs/>
        </w:rPr>
      </w:pPr>
    </w:p>
    <w:p w14:paraId="4D6E3D7F" w14:textId="77777777" w:rsidR="00597536" w:rsidRPr="001115D3" w:rsidRDefault="00597536" w:rsidP="00597536">
      <w:pPr>
        <w:spacing w:after="160"/>
        <w:rPr>
          <w:b/>
          <w:bCs/>
        </w:rPr>
      </w:pPr>
      <w:r w:rsidRPr="001115D3">
        <w:rPr>
          <w:b/>
          <w:bCs/>
        </w:rPr>
        <w:t xml:space="preserve">Rapporto di ricerca a cura di: </w:t>
      </w:r>
    </w:p>
    <w:p w14:paraId="193A1D1C" w14:textId="77777777" w:rsidR="00597536" w:rsidRDefault="00597536" w:rsidP="00597536">
      <w:pPr>
        <w:spacing w:after="160"/>
      </w:pPr>
    </w:p>
    <w:p w14:paraId="657B8B31" w14:textId="77777777" w:rsidR="00597536" w:rsidRDefault="00597536" w:rsidP="00597536">
      <w:pPr>
        <w:spacing w:after="160"/>
      </w:pPr>
      <w:r>
        <w:t>Gianluca Toschi: ricercatore senior Fondazione Nord Est</w:t>
      </w:r>
    </w:p>
    <w:p w14:paraId="4F97D6B4" w14:textId="77777777" w:rsidR="00597536" w:rsidRDefault="00597536" w:rsidP="00597536">
      <w:pPr>
        <w:rPr>
          <w:b/>
        </w:rPr>
      </w:pPr>
      <w:r>
        <w:t>Lorenzo di Lenna: ricercatore Fondazione Nord Est</w:t>
      </w:r>
    </w:p>
    <w:p w14:paraId="0F14938E" w14:textId="77777777" w:rsidR="00597536" w:rsidRDefault="00597536" w:rsidP="00597536">
      <w:pPr>
        <w:rPr>
          <w:b/>
          <w:bCs/>
        </w:rPr>
      </w:pPr>
    </w:p>
    <w:p w14:paraId="236D7219" w14:textId="77777777" w:rsidR="00597536" w:rsidRDefault="00597536" w:rsidP="00597536">
      <w:pPr>
        <w:rPr>
          <w:b/>
          <w:bCs/>
        </w:rPr>
      </w:pPr>
    </w:p>
    <w:p w14:paraId="38BEF5CF" w14:textId="77777777" w:rsidR="00597536" w:rsidRDefault="00597536" w:rsidP="00597536">
      <w:pPr>
        <w:rPr>
          <w:b/>
          <w:bCs/>
        </w:rPr>
      </w:pPr>
    </w:p>
    <w:p w14:paraId="10E8E00B" w14:textId="77777777" w:rsidR="00597536" w:rsidRDefault="00597536" w:rsidP="00597536">
      <w:pPr>
        <w:rPr>
          <w:b/>
          <w:bCs/>
        </w:rPr>
      </w:pPr>
    </w:p>
    <w:p w14:paraId="50E7B14E" w14:textId="77777777" w:rsidR="00597536" w:rsidRDefault="00597536" w:rsidP="00597536">
      <w:pPr>
        <w:rPr>
          <w:b/>
          <w:bCs/>
        </w:rPr>
      </w:pPr>
    </w:p>
    <w:p w14:paraId="6389D6B9" w14:textId="77777777" w:rsidR="00597536" w:rsidRDefault="00597536" w:rsidP="00597536">
      <w:pPr>
        <w:rPr>
          <w:b/>
          <w:bCs/>
        </w:rPr>
      </w:pPr>
    </w:p>
    <w:p w14:paraId="39FF6BCC" w14:textId="77777777" w:rsidR="00597536" w:rsidRDefault="00597536" w:rsidP="00597536">
      <w:pPr>
        <w:rPr>
          <w:b/>
          <w:bCs/>
        </w:rPr>
      </w:pPr>
    </w:p>
    <w:p w14:paraId="16D73CDD" w14:textId="77777777" w:rsidR="00597536" w:rsidRDefault="00597536" w:rsidP="00597536">
      <w:pPr>
        <w:rPr>
          <w:b/>
          <w:bCs/>
        </w:rPr>
      </w:pPr>
    </w:p>
    <w:p w14:paraId="5A46B643" w14:textId="77777777" w:rsidR="00597536" w:rsidRDefault="00597536" w:rsidP="00597536">
      <w:pPr>
        <w:rPr>
          <w:b/>
          <w:bCs/>
        </w:rPr>
      </w:pPr>
    </w:p>
    <w:p w14:paraId="65CB0938" w14:textId="77777777" w:rsidR="00597536" w:rsidRDefault="00597536" w:rsidP="00597536">
      <w:pPr>
        <w:rPr>
          <w:b/>
          <w:bCs/>
        </w:rPr>
      </w:pPr>
    </w:p>
    <w:p w14:paraId="392DA43A" w14:textId="77777777" w:rsidR="00597536" w:rsidRDefault="00597536" w:rsidP="00597536">
      <w:pPr>
        <w:rPr>
          <w:b/>
          <w:bCs/>
        </w:rPr>
      </w:pPr>
    </w:p>
    <w:p w14:paraId="27021AB7" w14:textId="77777777" w:rsidR="00597536" w:rsidRDefault="00597536" w:rsidP="00597536">
      <w:pPr>
        <w:rPr>
          <w:b/>
          <w:bCs/>
        </w:rPr>
      </w:pPr>
    </w:p>
    <w:p w14:paraId="16C7A990" w14:textId="77777777" w:rsidR="00597536" w:rsidRDefault="00597536" w:rsidP="00597536">
      <w:pPr>
        <w:rPr>
          <w:b/>
          <w:bCs/>
        </w:rPr>
      </w:pPr>
    </w:p>
    <w:p w14:paraId="04C0ACF1" w14:textId="77777777" w:rsidR="00597536" w:rsidRDefault="00597536" w:rsidP="00597536">
      <w:pPr>
        <w:rPr>
          <w:b/>
          <w:bCs/>
        </w:rPr>
      </w:pPr>
    </w:p>
    <w:p w14:paraId="6EB752CB" w14:textId="77777777" w:rsidR="00597536" w:rsidRDefault="00597536" w:rsidP="00597536">
      <w:pPr>
        <w:rPr>
          <w:b/>
          <w:bCs/>
        </w:rPr>
      </w:pPr>
    </w:p>
    <w:p w14:paraId="09F02D43" w14:textId="77777777" w:rsidR="00597536" w:rsidRDefault="00597536" w:rsidP="00597536">
      <w:pPr>
        <w:rPr>
          <w:b/>
          <w:bCs/>
        </w:rPr>
      </w:pPr>
    </w:p>
    <w:p w14:paraId="5E050C06" w14:textId="77777777" w:rsidR="00597536" w:rsidRDefault="00597536" w:rsidP="00597536">
      <w:pPr>
        <w:rPr>
          <w:b/>
          <w:bCs/>
        </w:rPr>
      </w:pPr>
    </w:p>
    <w:p w14:paraId="02AB343A" w14:textId="77777777" w:rsidR="00597536" w:rsidRDefault="00597536" w:rsidP="00597536">
      <w:pPr>
        <w:rPr>
          <w:b/>
          <w:bCs/>
        </w:rPr>
      </w:pPr>
    </w:p>
    <w:p w14:paraId="7CFF33B6" w14:textId="77777777" w:rsidR="00597536" w:rsidRDefault="00597536" w:rsidP="00597536">
      <w:pPr>
        <w:rPr>
          <w:b/>
          <w:bCs/>
        </w:rPr>
      </w:pPr>
    </w:p>
    <w:p w14:paraId="656FD87C" w14:textId="77777777" w:rsidR="00597536" w:rsidRDefault="00597536" w:rsidP="00597536">
      <w:pPr>
        <w:rPr>
          <w:b/>
          <w:bCs/>
        </w:rPr>
      </w:pPr>
    </w:p>
    <w:p w14:paraId="0ED0F846" w14:textId="77777777" w:rsidR="00597536" w:rsidRDefault="00597536" w:rsidP="00597536">
      <w:pPr>
        <w:rPr>
          <w:b/>
          <w:bCs/>
        </w:rPr>
      </w:pPr>
    </w:p>
    <w:p w14:paraId="01D14623" w14:textId="77777777" w:rsidR="00597536" w:rsidRDefault="00597536" w:rsidP="00597536">
      <w:pPr>
        <w:rPr>
          <w:b/>
          <w:bCs/>
        </w:rPr>
      </w:pPr>
    </w:p>
    <w:p w14:paraId="547C62BD" w14:textId="77777777" w:rsidR="00597536" w:rsidRDefault="00597536" w:rsidP="00597536">
      <w:pPr>
        <w:rPr>
          <w:b/>
          <w:bCs/>
        </w:rPr>
      </w:pPr>
    </w:p>
    <w:p w14:paraId="42E4C514" w14:textId="77777777" w:rsidR="00597536" w:rsidRDefault="00597536" w:rsidP="00597536">
      <w:pPr>
        <w:rPr>
          <w:b/>
          <w:bCs/>
        </w:rPr>
      </w:pPr>
    </w:p>
    <w:p w14:paraId="5D6967A1" w14:textId="77777777" w:rsidR="00597536" w:rsidRPr="000244BE" w:rsidRDefault="00597536" w:rsidP="00597536">
      <w:pPr>
        <w:rPr>
          <w:b/>
          <w:bCs/>
        </w:rPr>
      </w:pPr>
      <w:r>
        <w:rPr>
          <w:b/>
          <w:bCs/>
        </w:rPr>
        <w:t xml:space="preserve">Ricerca promossa da Confindustria Veneto Est e </w:t>
      </w:r>
      <w:r w:rsidRPr="001E77C6">
        <w:rPr>
          <w:b/>
        </w:rPr>
        <w:t>realizzat</w:t>
      </w:r>
      <w:r>
        <w:rPr>
          <w:b/>
        </w:rPr>
        <w:t>a</w:t>
      </w:r>
      <w:r w:rsidRPr="001E77C6">
        <w:rPr>
          <w:b/>
        </w:rPr>
        <w:t xml:space="preserve"> con il contributo della Camera di Commercio di Treviso-Belluno.</w:t>
      </w:r>
    </w:p>
    <w:p w14:paraId="2FB983C0" w14:textId="45ABD342" w:rsidR="00597536" w:rsidRDefault="007964B1" w:rsidP="00597536">
      <w:r>
        <w:rPr>
          <w:noProof/>
        </w:rPr>
        <w:drawing>
          <wp:anchor distT="0" distB="0" distL="114300" distR="114300" simplePos="0" relativeHeight="251661312" behindDoc="1" locked="0" layoutInCell="1" allowOverlap="1" wp14:anchorId="31111314" wp14:editId="74ACED47">
            <wp:simplePos x="0" y="0"/>
            <wp:positionH relativeFrom="column">
              <wp:posOffset>4261485</wp:posOffset>
            </wp:positionH>
            <wp:positionV relativeFrom="paragraph">
              <wp:posOffset>217170</wp:posOffset>
            </wp:positionV>
            <wp:extent cx="1645606" cy="470172"/>
            <wp:effectExtent l="0" t="0" r="0" b="6350"/>
            <wp:wrapNone/>
            <wp:docPr id="72988192" name="Immagine 7298819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645606" cy="470172"/>
                    </a:xfrm>
                    <a:prstGeom prst="rect">
                      <a:avLst/>
                    </a:prstGeom>
                  </pic:spPr>
                </pic:pic>
              </a:graphicData>
            </a:graphic>
          </wp:anchor>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7964B1" w14:paraId="660D43F5" w14:textId="77777777" w:rsidTr="00193D2F">
        <w:tc>
          <w:tcPr>
            <w:tcW w:w="3209" w:type="dxa"/>
          </w:tcPr>
          <w:p w14:paraId="7B0024AE" w14:textId="4641772B" w:rsidR="00597536" w:rsidRPr="00BB4DF5" w:rsidRDefault="007964B1" w:rsidP="00193D2F">
            <w:r>
              <w:rPr>
                <w:noProof/>
              </w:rPr>
              <w:drawing>
                <wp:anchor distT="0" distB="0" distL="114300" distR="114300" simplePos="0" relativeHeight="251660288" behindDoc="1" locked="0" layoutInCell="1" allowOverlap="1" wp14:anchorId="58859991" wp14:editId="299911A8">
                  <wp:simplePos x="0" y="0"/>
                  <wp:positionH relativeFrom="column">
                    <wp:posOffset>-64770</wp:posOffset>
                  </wp:positionH>
                  <wp:positionV relativeFrom="paragraph">
                    <wp:posOffset>61595</wp:posOffset>
                  </wp:positionV>
                  <wp:extent cx="2373434" cy="409575"/>
                  <wp:effectExtent l="0" t="0" r="8255" b="0"/>
                  <wp:wrapNone/>
                  <wp:docPr id="1721298648" name="Immagine 2" descr="Immagine che contiene testo, Carattere, Elementi grafici,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8648" name="Immagine 2" descr="Immagine che contiene testo, Carattere, Elementi grafici, tipografi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2373434" cy="409575"/>
                          </a:xfrm>
                          <a:prstGeom prst="rect">
                            <a:avLst/>
                          </a:prstGeom>
                        </pic:spPr>
                      </pic:pic>
                    </a:graphicData>
                  </a:graphic>
                </wp:anchor>
              </w:drawing>
            </w:r>
          </w:p>
        </w:tc>
        <w:tc>
          <w:tcPr>
            <w:tcW w:w="3209" w:type="dxa"/>
          </w:tcPr>
          <w:p w14:paraId="4F8C0F70" w14:textId="665D30B7" w:rsidR="00597536" w:rsidRDefault="00D323C2" w:rsidP="00193D2F">
            <w:pPr>
              <w:rPr>
                <w:b/>
              </w:rPr>
            </w:pPr>
            <w:r>
              <w:rPr>
                <w:b/>
                <w:noProof/>
              </w:rPr>
              <w:drawing>
                <wp:anchor distT="0" distB="0" distL="114300" distR="114300" simplePos="0" relativeHeight="251659264" behindDoc="1" locked="0" layoutInCell="1" allowOverlap="1" wp14:anchorId="678D98C0" wp14:editId="2449AF37">
                  <wp:simplePos x="0" y="0"/>
                  <wp:positionH relativeFrom="column">
                    <wp:posOffset>603885</wp:posOffset>
                  </wp:positionH>
                  <wp:positionV relativeFrom="paragraph">
                    <wp:posOffset>-262255</wp:posOffset>
                  </wp:positionV>
                  <wp:extent cx="1247775" cy="882460"/>
                  <wp:effectExtent l="0" t="0" r="0" b="0"/>
                  <wp:wrapNone/>
                  <wp:docPr id="911190660" name="Immagine 1" descr="Immagine che contiene Elementi grafici, grafica,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0660" name="Immagine 1" descr="Immagine che contiene Elementi grafici, grafica, logo, Caratter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775" cy="882460"/>
                          </a:xfrm>
                          <a:prstGeom prst="rect">
                            <a:avLst/>
                          </a:prstGeom>
                        </pic:spPr>
                      </pic:pic>
                    </a:graphicData>
                  </a:graphic>
                </wp:anchor>
              </w:drawing>
            </w:r>
          </w:p>
        </w:tc>
        <w:tc>
          <w:tcPr>
            <w:tcW w:w="3210" w:type="dxa"/>
          </w:tcPr>
          <w:p w14:paraId="4B3908A3" w14:textId="344B3E8F" w:rsidR="00597536" w:rsidRDefault="00597536" w:rsidP="00193D2F">
            <w:pPr>
              <w:rPr>
                <w:b/>
              </w:rPr>
            </w:pPr>
          </w:p>
        </w:tc>
      </w:tr>
    </w:tbl>
    <w:p w14:paraId="25F4F9AE" w14:textId="77777777" w:rsidR="00597536" w:rsidRDefault="00597536" w:rsidP="00597536">
      <w:pPr>
        <w:spacing w:after="160"/>
      </w:pPr>
    </w:p>
    <w:p w14:paraId="184AA2FD" w14:textId="77777777" w:rsidR="007665DA" w:rsidRDefault="007665DA" w:rsidP="007665DA"/>
    <w:p w14:paraId="00B85481" w14:textId="0723CCB9" w:rsidR="00597536" w:rsidRDefault="00964265" w:rsidP="00597536">
      <w:pPr>
        <w:pStyle w:val="Titolo2"/>
      </w:pPr>
      <w:r w:rsidRPr="00332ABB">
        <w:rPr>
          <w:b/>
        </w:rPr>
        <w:br w:type="page"/>
      </w:r>
      <w:bookmarkStart w:id="0" w:name="_Toc157430694"/>
      <w:r w:rsidR="00775FF3">
        <w:lastRenderedPageBreak/>
        <w:t>Prefazione</w:t>
      </w:r>
      <w:bookmarkEnd w:id="0"/>
    </w:p>
    <w:p w14:paraId="7BFC464F" w14:textId="77777777" w:rsidR="00EF376F" w:rsidRDefault="00EF376F" w:rsidP="00EF376F">
      <w:pPr>
        <w:spacing w:after="160"/>
        <w:rPr>
          <w:i/>
          <w:iCs/>
        </w:rPr>
      </w:pPr>
    </w:p>
    <w:p w14:paraId="733C0BE9" w14:textId="77777777" w:rsidR="00EF376F" w:rsidRDefault="00EF376F" w:rsidP="00EF376F">
      <w:pPr>
        <w:spacing w:after="160"/>
        <w:rPr>
          <w:i/>
          <w:iCs/>
        </w:rPr>
      </w:pPr>
    </w:p>
    <w:p w14:paraId="73D40153" w14:textId="2B775629" w:rsidR="00EF376F" w:rsidRPr="00B50119" w:rsidRDefault="00EF376F" w:rsidP="00415B03">
      <w:pPr>
        <w:spacing w:after="160" w:line="360" w:lineRule="auto"/>
        <w:jc w:val="both"/>
        <w:rPr>
          <w:i/>
          <w:iCs/>
        </w:rPr>
      </w:pPr>
      <w:r w:rsidRPr="00EF376F">
        <w:rPr>
          <w:i/>
          <w:iCs/>
        </w:rPr>
        <w:t>Alla sua terza edizione, l’indagine “Osservatorio Export” 2023 si è consolidata come strumento utile per comprendere il contesto internazionale caratterizzato da crescenti complessit</w:t>
      </w:r>
      <w:r w:rsidR="00D908CF">
        <w:rPr>
          <w:i/>
          <w:iCs/>
        </w:rPr>
        <w:t xml:space="preserve">à </w:t>
      </w:r>
      <w:r w:rsidR="00D908CF" w:rsidRPr="00B50119">
        <w:rPr>
          <w:i/>
          <w:iCs/>
        </w:rPr>
        <w:t xml:space="preserve">geopolitiche ed economiche </w:t>
      </w:r>
      <w:r w:rsidRPr="00B50119">
        <w:rPr>
          <w:i/>
          <w:iCs/>
        </w:rPr>
        <w:t>e rapide evoluzioni tecnologiche in cui ci stiamo muovendo.  Una chiave di lettura, quindi, sia per le aziende che sono chiamate a prendere decisioni più consapevoli, sia per Confindustria Veneto Est, per orientare i propri servizi a support</w:t>
      </w:r>
      <w:r w:rsidR="00D908CF" w:rsidRPr="00B50119">
        <w:rPr>
          <w:i/>
          <w:iCs/>
        </w:rPr>
        <w:t>o dei processi di internazionalizzazione delle imprese e dell’export.</w:t>
      </w:r>
      <w:r w:rsidRPr="00B50119">
        <w:rPr>
          <w:i/>
          <w:iCs/>
        </w:rPr>
        <w:t xml:space="preserve"> </w:t>
      </w:r>
    </w:p>
    <w:p w14:paraId="2743C5DD" w14:textId="77777777" w:rsidR="00EF376F" w:rsidRPr="00B50119" w:rsidRDefault="00EF376F" w:rsidP="00415B03">
      <w:pPr>
        <w:spacing w:after="160" w:line="360" w:lineRule="auto"/>
        <w:jc w:val="both"/>
        <w:rPr>
          <w:i/>
          <w:iCs/>
        </w:rPr>
      </w:pPr>
      <w:r w:rsidRPr="00B50119">
        <w:rPr>
          <w:i/>
          <w:iCs/>
        </w:rPr>
        <w:t>I risultati dell’edizione 2023 forniscono preziose indicazioni per le nostre imprese, chiamate negli ultimi anni a riposizionarsi all’interno delle catene globali di fornitura, a diversificare la rete di clienti e fornitori strategici e ad affrontare le sfide derivanti dalle cosiddette “transizioni gemelle” - digitale e green - trasformandole in una leva per la crescita sui mercati esteri.</w:t>
      </w:r>
    </w:p>
    <w:p w14:paraId="6E0A7ABC" w14:textId="77777777" w:rsidR="00EF376F" w:rsidRPr="00B50119" w:rsidRDefault="00EF376F" w:rsidP="00415B03">
      <w:pPr>
        <w:spacing w:after="160" w:line="360" w:lineRule="auto"/>
        <w:jc w:val="both"/>
        <w:rPr>
          <w:i/>
          <w:iCs/>
        </w:rPr>
      </w:pPr>
      <w:r w:rsidRPr="00B50119">
        <w:rPr>
          <w:i/>
          <w:iCs/>
        </w:rPr>
        <w:t xml:space="preserve">Realizzato con il supporto di Fondazione Nord Est e SACE, su un campione di 649 aziende manifatturiere, lo studio coglie e interpreta i fenomeni in atto che determinano le strategie di internazionalizzazione delle aziende associate, i loro principali mercati di destinazione e le nuove opportunità per l’export. </w:t>
      </w:r>
    </w:p>
    <w:p w14:paraId="090A2BEE" w14:textId="04420F6D" w:rsidR="00415B03" w:rsidRDefault="00EF376F" w:rsidP="00415B03">
      <w:pPr>
        <w:spacing w:after="160" w:line="360" w:lineRule="auto"/>
        <w:jc w:val="both"/>
        <w:rPr>
          <w:i/>
          <w:iCs/>
        </w:rPr>
      </w:pPr>
      <w:r w:rsidRPr="00B50119">
        <w:rPr>
          <w:i/>
          <w:iCs/>
        </w:rPr>
        <w:t>Sono fermamente convi</w:t>
      </w:r>
      <w:r w:rsidR="00D908CF" w:rsidRPr="00B50119">
        <w:rPr>
          <w:i/>
          <w:iCs/>
        </w:rPr>
        <w:t>n</w:t>
      </w:r>
      <w:r w:rsidRPr="00B50119">
        <w:rPr>
          <w:i/>
          <w:iCs/>
        </w:rPr>
        <w:t>ta che temi come la geopolitica, le tecnologie digitali e la sostenibilità continueranno ad impattare fortemente il commercio mondiale anche nel 2024 e che l’internazionalizzazione – nelle sue diverse forme – rimarrà un elemento imprescindibile per la crescita delle imprese dell’area v</w:t>
      </w:r>
      <w:r w:rsidR="00D908CF" w:rsidRPr="00B50119">
        <w:rPr>
          <w:i/>
          <w:iCs/>
        </w:rPr>
        <w:t>asta Venezia, Padova, Rovigo e Treviso</w:t>
      </w:r>
      <w:r w:rsidR="00415B03" w:rsidRPr="00B50119">
        <w:rPr>
          <w:i/>
          <w:iCs/>
        </w:rPr>
        <w:t>, che con 38,4 miliardi di euro nel 2022</w:t>
      </w:r>
      <w:r w:rsidR="0074168D" w:rsidRPr="00B50119">
        <w:rPr>
          <w:i/>
          <w:iCs/>
        </w:rPr>
        <w:t xml:space="preserve"> </w:t>
      </w:r>
      <w:r w:rsidR="00253B04" w:rsidRPr="00B50119">
        <w:rPr>
          <w:i/>
          <w:iCs/>
        </w:rPr>
        <w:t>genera quasi la metà delle esportazioni regionali.</w:t>
      </w:r>
    </w:p>
    <w:p w14:paraId="23137B21" w14:textId="6BCF4154" w:rsidR="00EF376F" w:rsidRPr="00EF376F" w:rsidRDefault="00EF376F" w:rsidP="00415B03">
      <w:pPr>
        <w:spacing w:after="160" w:line="360" w:lineRule="auto"/>
        <w:jc w:val="both"/>
        <w:rPr>
          <w:i/>
          <w:iCs/>
        </w:rPr>
      </w:pPr>
      <w:r w:rsidRPr="00EF376F">
        <w:rPr>
          <w:i/>
          <w:iCs/>
        </w:rPr>
        <w:t xml:space="preserve">Mi auguro inoltre che questa indagine possa essere utile non solo alle aziende che hanno già una presenza consolidata all’estero, ma anche a quelle che desiderano intraprendere questo percorso. </w:t>
      </w:r>
    </w:p>
    <w:p w14:paraId="3D676C24" w14:textId="77777777" w:rsidR="00EF376F" w:rsidRPr="00EF376F" w:rsidRDefault="00EF376F" w:rsidP="00EF376F">
      <w:pPr>
        <w:spacing w:after="160" w:line="360" w:lineRule="auto"/>
      </w:pPr>
    </w:p>
    <w:p w14:paraId="43AC8209" w14:textId="77777777" w:rsidR="00EF376F" w:rsidRPr="00EF376F" w:rsidRDefault="00EF376F" w:rsidP="00EF376F">
      <w:pPr>
        <w:spacing w:after="160" w:line="360" w:lineRule="auto"/>
        <w:rPr>
          <w:i/>
          <w:iCs/>
        </w:rPr>
      </w:pPr>
      <w:r w:rsidRPr="00EF376F">
        <w:rPr>
          <w:i/>
          <w:iCs/>
        </w:rPr>
        <w:t>Alessandra Polin</w:t>
      </w:r>
    </w:p>
    <w:p w14:paraId="4C056EC2" w14:textId="77777777" w:rsidR="00EF376F" w:rsidRPr="00EF376F" w:rsidRDefault="00EF376F" w:rsidP="00EF376F">
      <w:pPr>
        <w:spacing w:after="160" w:line="360" w:lineRule="auto"/>
        <w:rPr>
          <w:i/>
          <w:iCs/>
        </w:rPr>
      </w:pPr>
      <w:r w:rsidRPr="00EF376F">
        <w:rPr>
          <w:i/>
          <w:iCs/>
        </w:rPr>
        <w:t>Consigliere con delega all’internazionalizzazione</w:t>
      </w:r>
    </w:p>
    <w:p w14:paraId="0776DA01" w14:textId="77777777" w:rsidR="00EF376F" w:rsidRPr="00EF376F" w:rsidRDefault="00EF376F" w:rsidP="00EF376F">
      <w:pPr>
        <w:spacing w:after="160"/>
      </w:pPr>
    </w:p>
    <w:p w14:paraId="7595FD73" w14:textId="77777777" w:rsidR="00EF376F" w:rsidRPr="00EF376F" w:rsidRDefault="00EF376F" w:rsidP="00EF376F">
      <w:pPr>
        <w:spacing w:after="160"/>
      </w:pPr>
      <w:r w:rsidRPr="00EF376F">
        <w:rPr>
          <w:noProof/>
        </w:rPr>
        <w:drawing>
          <wp:anchor distT="0" distB="0" distL="114300" distR="114300" simplePos="0" relativeHeight="251663360" behindDoc="0" locked="0" layoutInCell="1" allowOverlap="1" wp14:anchorId="42FB28D3" wp14:editId="385A079C">
            <wp:simplePos x="0" y="0"/>
            <wp:positionH relativeFrom="margin">
              <wp:align>left</wp:align>
            </wp:positionH>
            <wp:positionV relativeFrom="paragraph">
              <wp:posOffset>52705</wp:posOffset>
            </wp:positionV>
            <wp:extent cx="1314000" cy="525600"/>
            <wp:effectExtent l="0" t="0" r="635" b="8255"/>
            <wp:wrapNone/>
            <wp:docPr id="1340493724" name="Immagine 1" descr="Immagine che contiene calligrafia, Carattere, ner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93724" name="Immagine 1" descr="Immagine che contiene calligrafia, Carattere, nero, tipografi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000" cy="525600"/>
                    </a:xfrm>
                    <a:prstGeom prst="rect">
                      <a:avLst/>
                    </a:prstGeom>
                  </pic:spPr>
                </pic:pic>
              </a:graphicData>
            </a:graphic>
            <wp14:sizeRelH relativeFrom="margin">
              <wp14:pctWidth>0</wp14:pctWidth>
            </wp14:sizeRelH>
            <wp14:sizeRelV relativeFrom="margin">
              <wp14:pctHeight>0</wp14:pctHeight>
            </wp14:sizeRelV>
          </wp:anchor>
        </w:drawing>
      </w:r>
    </w:p>
    <w:p w14:paraId="1629219C" w14:textId="77777777" w:rsidR="00EF376F" w:rsidRPr="00EF376F" w:rsidRDefault="00EF376F" w:rsidP="00EF376F">
      <w:pPr>
        <w:spacing w:after="160"/>
        <w:rPr>
          <w:i/>
          <w:iCs/>
        </w:rPr>
      </w:pPr>
    </w:p>
    <w:p w14:paraId="1F45792C" w14:textId="4F8D4D29" w:rsidR="001115D3" w:rsidRDefault="001115D3">
      <w:pPr>
        <w:spacing w:after="160"/>
      </w:pPr>
      <w:r>
        <w:br w:type="page"/>
      </w:r>
    </w:p>
    <w:p w14:paraId="09FD2DDB" w14:textId="77777777" w:rsidR="00BB2D15" w:rsidRDefault="00BB2D15" w:rsidP="00075241"/>
    <w:p w14:paraId="37144076" w14:textId="77777777" w:rsidR="00A47A90" w:rsidRDefault="00A47A90" w:rsidP="00075241"/>
    <w:sdt>
      <w:sdtPr>
        <w:rPr>
          <w:rFonts w:asciiTheme="minorHAnsi" w:eastAsiaTheme="minorHAnsi" w:hAnsiTheme="minorHAnsi" w:cstheme="minorBidi"/>
          <w:color w:val="auto"/>
          <w:kern w:val="2"/>
          <w:sz w:val="22"/>
          <w:szCs w:val="22"/>
          <w:lang w:eastAsia="en-US"/>
          <w14:ligatures w14:val="standardContextual"/>
        </w:rPr>
        <w:id w:val="1277214343"/>
        <w:docPartObj>
          <w:docPartGallery w:val="Table of Contents"/>
          <w:docPartUnique/>
        </w:docPartObj>
      </w:sdtPr>
      <w:sdtEndPr>
        <w:rPr>
          <w:b/>
          <w:bCs/>
        </w:rPr>
      </w:sdtEndPr>
      <w:sdtContent>
        <w:p w14:paraId="57316A34" w14:textId="09874937" w:rsidR="00597536" w:rsidRDefault="00597536">
          <w:pPr>
            <w:pStyle w:val="Titolosommario"/>
          </w:pPr>
          <w:r>
            <w:t>Sommario</w:t>
          </w:r>
        </w:p>
        <w:p w14:paraId="4580E919" w14:textId="77777777" w:rsidR="00BD0030" w:rsidRPr="00BD0030" w:rsidRDefault="00BD0030" w:rsidP="00BD0030">
          <w:pPr>
            <w:rPr>
              <w:lang w:eastAsia="it-IT"/>
            </w:rPr>
          </w:pPr>
        </w:p>
        <w:p w14:paraId="6AE9CFE8" w14:textId="0ADB006D" w:rsidR="00DB79AD" w:rsidRDefault="00597536">
          <w:pPr>
            <w:pStyle w:val="Sommario2"/>
            <w:tabs>
              <w:tab w:val="right" w:leader="dot" w:pos="9628"/>
            </w:tabs>
            <w:rPr>
              <w:rFonts w:eastAsiaTheme="minorEastAsia"/>
              <w:noProof/>
              <w:lang w:eastAsia="it-IT"/>
            </w:rPr>
          </w:pPr>
          <w:r>
            <w:fldChar w:fldCharType="begin"/>
          </w:r>
          <w:r>
            <w:instrText xml:space="preserve"> TOC \o "1-3" \h \z \u </w:instrText>
          </w:r>
          <w:r>
            <w:fldChar w:fldCharType="separate"/>
          </w:r>
          <w:hyperlink w:anchor="_Toc157430694" w:history="1">
            <w:r w:rsidR="00DB79AD" w:rsidRPr="00B12959">
              <w:rPr>
                <w:rStyle w:val="Collegamentoipertestuale"/>
                <w:noProof/>
              </w:rPr>
              <w:t>Prefazione</w:t>
            </w:r>
            <w:r w:rsidR="00DB79AD">
              <w:rPr>
                <w:noProof/>
                <w:webHidden/>
              </w:rPr>
              <w:tab/>
            </w:r>
            <w:r w:rsidR="00DB79AD">
              <w:rPr>
                <w:noProof/>
                <w:webHidden/>
              </w:rPr>
              <w:fldChar w:fldCharType="begin"/>
            </w:r>
            <w:r w:rsidR="00DB79AD">
              <w:rPr>
                <w:noProof/>
                <w:webHidden/>
              </w:rPr>
              <w:instrText xml:space="preserve"> PAGEREF _Toc157430694 \h </w:instrText>
            </w:r>
            <w:r w:rsidR="00DB79AD">
              <w:rPr>
                <w:noProof/>
                <w:webHidden/>
              </w:rPr>
            </w:r>
            <w:r w:rsidR="00DB79AD">
              <w:rPr>
                <w:noProof/>
                <w:webHidden/>
              </w:rPr>
              <w:fldChar w:fldCharType="separate"/>
            </w:r>
            <w:r w:rsidR="00A02218">
              <w:rPr>
                <w:noProof/>
                <w:webHidden/>
              </w:rPr>
              <w:t>3</w:t>
            </w:r>
            <w:r w:rsidR="00DB79AD">
              <w:rPr>
                <w:noProof/>
                <w:webHidden/>
              </w:rPr>
              <w:fldChar w:fldCharType="end"/>
            </w:r>
          </w:hyperlink>
        </w:p>
        <w:p w14:paraId="26D9E953" w14:textId="32DCA181" w:rsidR="00DB79AD" w:rsidRDefault="00A02218">
          <w:pPr>
            <w:pStyle w:val="Sommario2"/>
            <w:tabs>
              <w:tab w:val="right" w:leader="dot" w:pos="9628"/>
            </w:tabs>
            <w:rPr>
              <w:rFonts w:eastAsiaTheme="minorEastAsia"/>
              <w:noProof/>
              <w:lang w:eastAsia="it-IT"/>
            </w:rPr>
          </w:pPr>
          <w:hyperlink w:anchor="_Toc157430695" w:history="1">
            <w:r w:rsidR="00DB79AD" w:rsidRPr="00B12959">
              <w:rPr>
                <w:rStyle w:val="Collegamentoipertestuale"/>
                <w:noProof/>
              </w:rPr>
              <w:t>Executive summary</w:t>
            </w:r>
            <w:r w:rsidR="00DB79AD">
              <w:rPr>
                <w:noProof/>
                <w:webHidden/>
              </w:rPr>
              <w:tab/>
            </w:r>
            <w:r w:rsidR="00DB79AD">
              <w:rPr>
                <w:noProof/>
                <w:webHidden/>
              </w:rPr>
              <w:fldChar w:fldCharType="begin"/>
            </w:r>
            <w:r w:rsidR="00DB79AD">
              <w:rPr>
                <w:noProof/>
                <w:webHidden/>
              </w:rPr>
              <w:instrText xml:space="preserve"> PAGEREF _Toc157430695 \h </w:instrText>
            </w:r>
            <w:r w:rsidR="00DB79AD">
              <w:rPr>
                <w:noProof/>
                <w:webHidden/>
              </w:rPr>
            </w:r>
            <w:r w:rsidR="00DB79AD">
              <w:rPr>
                <w:noProof/>
                <w:webHidden/>
              </w:rPr>
              <w:fldChar w:fldCharType="separate"/>
            </w:r>
            <w:r>
              <w:rPr>
                <w:noProof/>
                <w:webHidden/>
              </w:rPr>
              <w:t>5</w:t>
            </w:r>
            <w:r w:rsidR="00DB79AD">
              <w:rPr>
                <w:noProof/>
                <w:webHidden/>
              </w:rPr>
              <w:fldChar w:fldCharType="end"/>
            </w:r>
          </w:hyperlink>
        </w:p>
        <w:p w14:paraId="10D8DA50" w14:textId="2E53A399" w:rsidR="00DB79AD" w:rsidRDefault="00A02218">
          <w:pPr>
            <w:pStyle w:val="Sommario2"/>
            <w:tabs>
              <w:tab w:val="right" w:leader="dot" w:pos="9628"/>
            </w:tabs>
            <w:rPr>
              <w:rFonts w:eastAsiaTheme="minorEastAsia"/>
              <w:noProof/>
              <w:lang w:eastAsia="it-IT"/>
            </w:rPr>
          </w:pPr>
          <w:hyperlink w:anchor="_Toc157430696" w:history="1">
            <w:r w:rsidR="00DB79AD" w:rsidRPr="00B12959">
              <w:rPr>
                <w:rStyle w:val="Collegamentoipertestuale"/>
                <w:noProof/>
              </w:rPr>
              <w:t>Quadro generale</w:t>
            </w:r>
            <w:r w:rsidR="00DB79AD">
              <w:rPr>
                <w:noProof/>
                <w:webHidden/>
              </w:rPr>
              <w:tab/>
            </w:r>
            <w:r w:rsidR="00DB79AD">
              <w:rPr>
                <w:noProof/>
                <w:webHidden/>
              </w:rPr>
              <w:fldChar w:fldCharType="begin"/>
            </w:r>
            <w:r w:rsidR="00DB79AD">
              <w:rPr>
                <w:noProof/>
                <w:webHidden/>
              </w:rPr>
              <w:instrText xml:space="preserve"> PAGEREF _Toc157430696 \h </w:instrText>
            </w:r>
            <w:r w:rsidR="00DB79AD">
              <w:rPr>
                <w:noProof/>
                <w:webHidden/>
              </w:rPr>
            </w:r>
            <w:r w:rsidR="00DB79AD">
              <w:rPr>
                <w:noProof/>
                <w:webHidden/>
              </w:rPr>
              <w:fldChar w:fldCharType="separate"/>
            </w:r>
            <w:r>
              <w:rPr>
                <w:noProof/>
                <w:webHidden/>
              </w:rPr>
              <w:t>7</w:t>
            </w:r>
            <w:r w:rsidR="00DB79AD">
              <w:rPr>
                <w:noProof/>
                <w:webHidden/>
              </w:rPr>
              <w:fldChar w:fldCharType="end"/>
            </w:r>
          </w:hyperlink>
        </w:p>
        <w:p w14:paraId="6A3BFBA3" w14:textId="0074E042" w:rsidR="00DB79AD" w:rsidRDefault="00A02218">
          <w:pPr>
            <w:pStyle w:val="Sommario2"/>
            <w:tabs>
              <w:tab w:val="right" w:leader="dot" w:pos="9628"/>
            </w:tabs>
            <w:rPr>
              <w:rFonts w:eastAsiaTheme="minorEastAsia"/>
              <w:noProof/>
              <w:lang w:eastAsia="it-IT"/>
            </w:rPr>
          </w:pPr>
          <w:hyperlink w:anchor="_Toc157430697" w:history="1">
            <w:r w:rsidR="00DB79AD" w:rsidRPr="00B12959">
              <w:rPr>
                <w:rStyle w:val="Collegamentoipertestuale"/>
                <w:noProof/>
              </w:rPr>
              <w:t>1. L’indagine: il rapporto tra internazionalizzazione e transizioni gemelle</w:t>
            </w:r>
            <w:r w:rsidR="00DB79AD">
              <w:rPr>
                <w:noProof/>
                <w:webHidden/>
              </w:rPr>
              <w:tab/>
            </w:r>
            <w:r w:rsidR="00DB79AD">
              <w:rPr>
                <w:noProof/>
                <w:webHidden/>
              </w:rPr>
              <w:fldChar w:fldCharType="begin"/>
            </w:r>
            <w:r w:rsidR="00DB79AD">
              <w:rPr>
                <w:noProof/>
                <w:webHidden/>
              </w:rPr>
              <w:instrText xml:space="preserve"> PAGEREF _Toc157430697 \h </w:instrText>
            </w:r>
            <w:r w:rsidR="00DB79AD">
              <w:rPr>
                <w:noProof/>
                <w:webHidden/>
              </w:rPr>
            </w:r>
            <w:r w:rsidR="00DB79AD">
              <w:rPr>
                <w:noProof/>
                <w:webHidden/>
              </w:rPr>
              <w:fldChar w:fldCharType="separate"/>
            </w:r>
            <w:r>
              <w:rPr>
                <w:noProof/>
                <w:webHidden/>
              </w:rPr>
              <w:t>13</w:t>
            </w:r>
            <w:r w:rsidR="00DB79AD">
              <w:rPr>
                <w:noProof/>
                <w:webHidden/>
              </w:rPr>
              <w:fldChar w:fldCharType="end"/>
            </w:r>
          </w:hyperlink>
        </w:p>
        <w:p w14:paraId="1A318E7C" w14:textId="12202BF9" w:rsidR="00DB79AD" w:rsidRDefault="00A02218">
          <w:pPr>
            <w:pStyle w:val="Sommario2"/>
            <w:tabs>
              <w:tab w:val="right" w:leader="dot" w:pos="9628"/>
            </w:tabs>
            <w:rPr>
              <w:rFonts w:eastAsiaTheme="minorEastAsia"/>
              <w:noProof/>
              <w:lang w:eastAsia="it-IT"/>
            </w:rPr>
          </w:pPr>
          <w:hyperlink w:anchor="_Toc157430698" w:history="1">
            <w:r w:rsidR="00DB79AD" w:rsidRPr="00B12959">
              <w:rPr>
                <w:rStyle w:val="Collegamentoipertestuale"/>
                <w:noProof/>
              </w:rPr>
              <w:t>2. Strategie di internazionalizzazione</w:t>
            </w:r>
            <w:r w:rsidR="00DB79AD">
              <w:rPr>
                <w:noProof/>
                <w:webHidden/>
              </w:rPr>
              <w:tab/>
            </w:r>
            <w:r w:rsidR="00DB79AD">
              <w:rPr>
                <w:noProof/>
                <w:webHidden/>
              </w:rPr>
              <w:fldChar w:fldCharType="begin"/>
            </w:r>
            <w:r w:rsidR="00DB79AD">
              <w:rPr>
                <w:noProof/>
                <w:webHidden/>
              </w:rPr>
              <w:instrText xml:space="preserve"> PAGEREF _Toc157430698 \h </w:instrText>
            </w:r>
            <w:r w:rsidR="00DB79AD">
              <w:rPr>
                <w:noProof/>
                <w:webHidden/>
              </w:rPr>
            </w:r>
            <w:r w:rsidR="00DB79AD">
              <w:rPr>
                <w:noProof/>
                <w:webHidden/>
              </w:rPr>
              <w:fldChar w:fldCharType="separate"/>
            </w:r>
            <w:r>
              <w:rPr>
                <w:noProof/>
                <w:webHidden/>
              </w:rPr>
              <w:t>15</w:t>
            </w:r>
            <w:r w:rsidR="00DB79AD">
              <w:rPr>
                <w:noProof/>
                <w:webHidden/>
              </w:rPr>
              <w:fldChar w:fldCharType="end"/>
            </w:r>
          </w:hyperlink>
        </w:p>
        <w:p w14:paraId="7A33DE98" w14:textId="785FD179" w:rsidR="00DB79AD" w:rsidRDefault="00A02218">
          <w:pPr>
            <w:pStyle w:val="Sommario3"/>
            <w:rPr>
              <w:rFonts w:eastAsiaTheme="minorEastAsia"/>
              <w:noProof/>
              <w:lang w:eastAsia="it-IT"/>
            </w:rPr>
          </w:pPr>
          <w:hyperlink w:anchor="_Toc157430699" w:history="1">
            <w:r w:rsidR="00DB79AD" w:rsidRPr="00B12959">
              <w:rPr>
                <w:rStyle w:val="Collegamentoipertestuale"/>
                <w:noProof/>
              </w:rPr>
              <w:t>2.1 Una prima rappresentazione delle strategie di internazionalizzazione: i cluster</w:t>
            </w:r>
            <w:r w:rsidR="00DB79AD">
              <w:rPr>
                <w:noProof/>
                <w:webHidden/>
              </w:rPr>
              <w:tab/>
            </w:r>
            <w:r w:rsidR="00DB79AD">
              <w:rPr>
                <w:noProof/>
                <w:webHidden/>
              </w:rPr>
              <w:fldChar w:fldCharType="begin"/>
            </w:r>
            <w:r w:rsidR="00DB79AD">
              <w:rPr>
                <w:noProof/>
                <w:webHidden/>
              </w:rPr>
              <w:instrText xml:space="preserve"> PAGEREF _Toc157430699 \h </w:instrText>
            </w:r>
            <w:r w:rsidR="00DB79AD">
              <w:rPr>
                <w:noProof/>
                <w:webHidden/>
              </w:rPr>
            </w:r>
            <w:r w:rsidR="00DB79AD">
              <w:rPr>
                <w:noProof/>
                <w:webHidden/>
              </w:rPr>
              <w:fldChar w:fldCharType="separate"/>
            </w:r>
            <w:r>
              <w:rPr>
                <w:noProof/>
                <w:webHidden/>
              </w:rPr>
              <w:t>15</w:t>
            </w:r>
            <w:r w:rsidR="00DB79AD">
              <w:rPr>
                <w:noProof/>
                <w:webHidden/>
              </w:rPr>
              <w:fldChar w:fldCharType="end"/>
            </w:r>
          </w:hyperlink>
        </w:p>
        <w:p w14:paraId="32EF6C39" w14:textId="41CE8279" w:rsidR="00DB79AD" w:rsidRDefault="00A02218">
          <w:pPr>
            <w:pStyle w:val="Sommario3"/>
            <w:rPr>
              <w:rFonts w:eastAsiaTheme="minorEastAsia"/>
              <w:noProof/>
              <w:lang w:eastAsia="it-IT"/>
            </w:rPr>
          </w:pPr>
          <w:hyperlink w:anchor="_Toc157430700" w:history="1">
            <w:r w:rsidR="00DB79AD" w:rsidRPr="00B12959">
              <w:rPr>
                <w:rStyle w:val="Collegamentoipertestuale"/>
                <w:noProof/>
              </w:rPr>
              <w:t>2.2 Un tentativo di sintesi: i risultati della cluster analysis</w:t>
            </w:r>
            <w:r w:rsidR="00DB79AD">
              <w:rPr>
                <w:noProof/>
                <w:webHidden/>
              </w:rPr>
              <w:tab/>
            </w:r>
            <w:r w:rsidR="00DB79AD">
              <w:rPr>
                <w:noProof/>
                <w:webHidden/>
              </w:rPr>
              <w:fldChar w:fldCharType="begin"/>
            </w:r>
            <w:r w:rsidR="00DB79AD">
              <w:rPr>
                <w:noProof/>
                <w:webHidden/>
              </w:rPr>
              <w:instrText xml:space="preserve"> PAGEREF _Toc157430700 \h </w:instrText>
            </w:r>
            <w:r w:rsidR="00DB79AD">
              <w:rPr>
                <w:noProof/>
                <w:webHidden/>
              </w:rPr>
            </w:r>
            <w:r w:rsidR="00DB79AD">
              <w:rPr>
                <w:noProof/>
                <w:webHidden/>
              </w:rPr>
              <w:fldChar w:fldCharType="separate"/>
            </w:r>
            <w:r>
              <w:rPr>
                <w:noProof/>
                <w:webHidden/>
              </w:rPr>
              <w:t>23</w:t>
            </w:r>
            <w:r w:rsidR="00DB79AD">
              <w:rPr>
                <w:noProof/>
                <w:webHidden/>
              </w:rPr>
              <w:fldChar w:fldCharType="end"/>
            </w:r>
          </w:hyperlink>
        </w:p>
        <w:p w14:paraId="26179C0D" w14:textId="2C9ED25D" w:rsidR="00DB79AD" w:rsidRDefault="00A02218">
          <w:pPr>
            <w:pStyle w:val="Sommario2"/>
            <w:tabs>
              <w:tab w:val="right" w:leader="dot" w:pos="9628"/>
            </w:tabs>
            <w:rPr>
              <w:rFonts w:eastAsiaTheme="minorEastAsia"/>
              <w:noProof/>
              <w:lang w:eastAsia="it-IT"/>
            </w:rPr>
          </w:pPr>
          <w:hyperlink w:anchor="_Toc157430701" w:history="1">
            <w:r w:rsidR="00DB79AD" w:rsidRPr="00B12959">
              <w:rPr>
                <w:rStyle w:val="Collegamentoipertestuale"/>
                <w:noProof/>
              </w:rPr>
              <w:t>3. Guardando al futuro: i paesi target per l’export</w:t>
            </w:r>
            <w:r w:rsidR="00DB79AD">
              <w:rPr>
                <w:noProof/>
                <w:webHidden/>
              </w:rPr>
              <w:tab/>
            </w:r>
            <w:r w:rsidR="00DB79AD">
              <w:rPr>
                <w:noProof/>
                <w:webHidden/>
              </w:rPr>
              <w:fldChar w:fldCharType="begin"/>
            </w:r>
            <w:r w:rsidR="00DB79AD">
              <w:rPr>
                <w:noProof/>
                <w:webHidden/>
              </w:rPr>
              <w:instrText xml:space="preserve"> PAGEREF _Toc157430701 \h </w:instrText>
            </w:r>
            <w:r w:rsidR="00DB79AD">
              <w:rPr>
                <w:noProof/>
                <w:webHidden/>
              </w:rPr>
            </w:r>
            <w:r w:rsidR="00DB79AD">
              <w:rPr>
                <w:noProof/>
                <w:webHidden/>
              </w:rPr>
              <w:fldChar w:fldCharType="separate"/>
            </w:r>
            <w:r>
              <w:rPr>
                <w:noProof/>
                <w:webHidden/>
              </w:rPr>
              <w:t>24</w:t>
            </w:r>
            <w:r w:rsidR="00DB79AD">
              <w:rPr>
                <w:noProof/>
                <w:webHidden/>
              </w:rPr>
              <w:fldChar w:fldCharType="end"/>
            </w:r>
          </w:hyperlink>
        </w:p>
        <w:p w14:paraId="72CA744A" w14:textId="613CC34B" w:rsidR="00DB79AD" w:rsidRDefault="00A02218">
          <w:pPr>
            <w:pStyle w:val="Sommario2"/>
            <w:tabs>
              <w:tab w:val="right" w:leader="dot" w:pos="9628"/>
            </w:tabs>
            <w:rPr>
              <w:rFonts w:eastAsiaTheme="minorEastAsia"/>
              <w:noProof/>
              <w:lang w:eastAsia="it-IT"/>
            </w:rPr>
          </w:pPr>
          <w:hyperlink w:anchor="_Toc157430702" w:history="1">
            <w:r w:rsidR="00DB79AD" w:rsidRPr="00B12959">
              <w:rPr>
                <w:rStyle w:val="Collegamentoipertestuale"/>
                <w:noProof/>
              </w:rPr>
              <w:t>4. Revisione delle catene di fornitura</w:t>
            </w:r>
            <w:r w:rsidR="00DB79AD">
              <w:rPr>
                <w:noProof/>
                <w:webHidden/>
              </w:rPr>
              <w:tab/>
            </w:r>
            <w:r w:rsidR="00DB79AD">
              <w:rPr>
                <w:noProof/>
                <w:webHidden/>
              </w:rPr>
              <w:fldChar w:fldCharType="begin"/>
            </w:r>
            <w:r w:rsidR="00DB79AD">
              <w:rPr>
                <w:noProof/>
                <w:webHidden/>
              </w:rPr>
              <w:instrText xml:space="preserve"> PAGEREF _Toc157430702 \h </w:instrText>
            </w:r>
            <w:r w:rsidR="00DB79AD">
              <w:rPr>
                <w:noProof/>
                <w:webHidden/>
              </w:rPr>
            </w:r>
            <w:r w:rsidR="00DB79AD">
              <w:rPr>
                <w:noProof/>
                <w:webHidden/>
              </w:rPr>
              <w:fldChar w:fldCharType="separate"/>
            </w:r>
            <w:r>
              <w:rPr>
                <w:noProof/>
                <w:webHidden/>
              </w:rPr>
              <w:t>26</w:t>
            </w:r>
            <w:r w:rsidR="00DB79AD">
              <w:rPr>
                <w:noProof/>
                <w:webHidden/>
              </w:rPr>
              <w:fldChar w:fldCharType="end"/>
            </w:r>
          </w:hyperlink>
        </w:p>
        <w:p w14:paraId="5BDC255B" w14:textId="397621B0" w:rsidR="00DB79AD" w:rsidRDefault="00A02218">
          <w:pPr>
            <w:pStyle w:val="Sommario2"/>
            <w:tabs>
              <w:tab w:val="right" w:leader="dot" w:pos="9628"/>
            </w:tabs>
            <w:rPr>
              <w:rFonts w:eastAsiaTheme="minorEastAsia"/>
              <w:noProof/>
              <w:lang w:eastAsia="it-IT"/>
            </w:rPr>
          </w:pPr>
          <w:hyperlink w:anchor="_Toc157430703" w:history="1">
            <w:r w:rsidR="00DB79AD" w:rsidRPr="00B12959">
              <w:rPr>
                <w:rStyle w:val="Collegamentoipertestuale"/>
                <w:noProof/>
              </w:rPr>
              <w:t>5. Sostenibilità ambientale e internazionalizzazione</w:t>
            </w:r>
            <w:r w:rsidR="00DB79AD">
              <w:rPr>
                <w:noProof/>
                <w:webHidden/>
              </w:rPr>
              <w:tab/>
            </w:r>
            <w:r w:rsidR="00DB79AD">
              <w:rPr>
                <w:noProof/>
                <w:webHidden/>
              </w:rPr>
              <w:fldChar w:fldCharType="begin"/>
            </w:r>
            <w:r w:rsidR="00DB79AD">
              <w:rPr>
                <w:noProof/>
                <w:webHidden/>
              </w:rPr>
              <w:instrText xml:space="preserve"> PAGEREF _Toc157430703 \h </w:instrText>
            </w:r>
            <w:r w:rsidR="00DB79AD">
              <w:rPr>
                <w:noProof/>
                <w:webHidden/>
              </w:rPr>
            </w:r>
            <w:r w:rsidR="00DB79AD">
              <w:rPr>
                <w:noProof/>
                <w:webHidden/>
              </w:rPr>
              <w:fldChar w:fldCharType="separate"/>
            </w:r>
            <w:r>
              <w:rPr>
                <w:noProof/>
                <w:webHidden/>
              </w:rPr>
              <w:t>28</w:t>
            </w:r>
            <w:r w:rsidR="00DB79AD">
              <w:rPr>
                <w:noProof/>
                <w:webHidden/>
              </w:rPr>
              <w:fldChar w:fldCharType="end"/>
            </w:r>
          </w:hyperlink>
        </w:p>
        <w:p w14:paraId="2791F23F" w14:textId="3E537E16" w:rsidR="00DB79AD" w:rsidRDefault="00A02218">
          <w:pPr>
            <w:pStyle w:val="Sommario2"/>
            <w:tabs>
              <w:tab w:val="right" w:leader="dot" w:pos="9628"/>
            </w:tabs>
            <w:rPr>
              <w:rFonts w:eastAsiaTheme="minorEastAsia"/>
              <w:noProof/>
              <w:lang w:eastAsia="it-IT"/>
            </w:rPr>
          </w:pPr>
          <w:hyperlink w:anchor="_Toc157430704" w:history="1">
            <w:r w:rsidR="00DB79AD" w:rsidRPr="00B12959">
              <w:rPr>
                <w:rStyle w:val="Collegamentoipertestuale"/>
                <w:noProof/>
              </w:rPr>
              <w:t>6. Digitalizzazione: strumento di internazionalizzazione efficace?</w:t>
            </w:r>
            <w:r w:rsidR="00DB79AD">
              <w:rPr>
                <w:noProof/>
                <w:webHidden/>
              </w:rPr>
              <w:tab/>
            </w:r>
            <w:r w:rsidR="00DB79AD">
              <w:rPr>
                <w:noProof/>
                <w:webHidden/>
              </w:rPr>
              <w:fldChar w:fldCharType="begin"/>
            </w:r>
            <w:r w:rsidR="00DB79AD">
              <w:rPr>
                <w:noProof/>
                <w:webHidden/>
              </w:rPr>
              <w:instrText xml:space="preserve"> PAGEREF _Toc157430704 \h </w:instrText>
            </w:r>
            <w:r w:rsidR="00DB79AD">
              <w:rPr>
                <w:noProof/>
                <w:webHidden/>
              </w:rPr>
            </w:r>
            <w:r w:rsidR="00DB79AD">
              <w:rPr>
                <w:noProof/>
                <w:webHidden/>
              </w:rPr>
              <w:fldChar w:fldCharType="separate"/>
            </w:r>
            <w:r>
              <w:rPr>
                <w:noProof/>
                <w:webHidden/>
              </w:rPr>
              <w:t>36</w:t>
            </w:r>
            <w:r w:rsidR="00DB79AD">
              <w:rPr>
                <w:noProof/>
                <w:webHidden/>
              </w:rPr>
              <w:fldChar w:fldCharType="end"/>
            </w:r>
          </w:hyperlink>
        </w:p>
        <w:p w14:paraId="25071ABA" w14:textId="69C32B91" w:rsidR="00DB79AD" w:rsidRDefault="00A02218">
          <w:pPr>
            <w:pStyle w:val="Sommario2"/>
            <w:tabs>
              <w:tab w:val="right" w:leader="dot" w:pos="9628"/>
            </w:tabs>
            <w:rPr>
              <w:rFonts w:eastAsiaTheme="minorEastAsia"/>
              <w:noProof/>
              <w:lang w:eastAsia="it-IT"/>
            </w:rPr>
          </w:pPr>
          <w:hyperlink w:anchor="_Toc157430705" w:history="1">
            <w:r w:rsidR="00DB79AD" w:rsidRPr="00B12959">
              <w:rPr>
                <w:rStyle w:val="Collegamentoipertestuale"/>
                <w:noProof/>
              </w:rPr>
              <w:t>Nota metodologica</w:t>
            </w:r>
            <w:r w:rsidR="00DB79AD">
              <w:rPr>
                <w:noProof/>
                <w:webHidden/>
              </w:rPr>
              <w:tab/>
            </w:r>
            <w:r w:rsidR="00DB79AD">
              <w:rPr>
                <w:noProof/>
                <w:webHidden/>
              </w:rPr>
              <w:fldChar w:fldCharType="begin"/>
            </w:r>
            <w:r w:rsidR="00DB79AD">
              <w:rPr>
                <w:noProof/>
                <w:webHidden/>
              </w:rPr>
              <w:instrText xml:space="preserve"> PAGEREF _Toc157430705 \h </w:instrText>
            </w:r>
            <w:r w:rsidR="00DB79AD">
              <w:rPr>
                <w:noProof/>
                <w:webHidden/>
              </w:rPr>
            </w:r>
            <w:r w:rsidR="00DB79AD">
              <w:rPr>
                <w:noProof/>
                <w:webHidden/>
              </w:rPr>
              <w:fldChar w:fldCharType="separate"/>
            </w:r>
            <w:r>
              <w:rPr>
                <w:noProof/>
                <w:webHidden/>
              </w:rPr>
              <w:t>42</w:t>
            </w:r>
            <w:r w:rsidR="00DB79AD">
              <w:rPr>
                <w:noProof/>
                <w:webHidden/>
              </w:rPr>
              <w:fldChar w:fldCharType="end"/>
            </w:r>
          </w:hyperlink>
        </w:p>
        <w:p w14:paraId="1C99221F" w14:textId="53B1A66D" w:rsidR="00DB79AD" w:rsidRDefault="00A02218">
          <w:pPr>
            <w:pStyle w:val="Sommario2"/>
            <w:tabs>
              <w:tab w:val="right" w:leader="dot" w:pos="9628"/>
            </w:tabs>
            <w:rPr>
              <w:rFonts w:eastAsiaTheme="minorEastAsia"/>
              <w:noProof/>
              <w:lang w:eastAsia="it-IT"/>
            </w:rPr>
          </w:pPr>
          <w:hyperlink w:anchor="_Toc157430706" w:history="1">
            <w:r w:rsidR="00DB79AD" w:rsidRPr="00B12959">
              <w:rPr>
                <w:rStyle w:val="Collegamentoipertestuale"/>
                <w:noProof/>
              </w:rPr>
              <w:t>Bibliografia</w:t>
            </w:r>
            <w:r w:rsidR="00DB79AD">
              <w:rPr>
                <w:noProof/>
                <w:webHidden/>
              </w:rPr>
              <w:tab/>
            </w:r>
            <w:r w:rsidR="00DB79AD">
              <w:rPr>
                <w:noProof/>
                <w:webHidden/>
              </w:rPr>
              <w:fldChar w:fldCharType="begin"/>
            </w:r>
            <w:r w:rsidR="00DB79AD">
              <w:rPr>
                <w:noProof/>
                <w:webHidden/>
              </w:rPr>
              <w:instrText xml:space="preserve"> PAGEREF _Toc157430706 \h </w:instrText>
            </w:r>
            <w:r w:rsidR="00DB79AD">
              <w:rPr>
                <w:noProof/>
                <w:webHidden/>
              </w:rPr>
            </w:r>
            <w:r w:rsidR="00DB79AD">
              <w:rPr>
                <w:noProof/>
                <w:webHidden/>
              </w:rPr>
              <w:fldChar w:fldCharType="separate"/>
            </w:r>
            <w:r>
              <w:rPr>
                <w:noProof/>
                <w:webHidden/>
              </w:rPr>
              <w:t>43</w:t>
            </w:r>
            <w:r w:rsidR="00DB79AD">
              <w:rPr>
                <w:noProof/>
                <w:webHidden/>
              </w:rPr>
              <w:fldChar w:fldCharType="end"/>
            </w:r>
          </w:hyperlink>
        </w:p>
        <w:p w14:paraId="1DC4399D" w14:textId="39BEBCDA" w:rsidR="00597536" w:rsidRDefault="00597536">
          <w:r>
            <w:rPr>
              <w:b/>
              <w:bCs/>
            </w:rPr>
            <w:fldChar w:fldCharType="end"/>
          </w:r>
        </w:p>
      </w:sdtContent>
    </w:sdt>
    <w:p w14:paraId="52322D74" w14:textId="608727B3" w:rsidR="008D6A08" w:rsidRDefault="00BB2D15" w:rsidP="002E211E">
      <w:pPr>
        <w:rPr>
          <w:rFonts w:asciiTheme="majorHAnsi" w:eastAsiaTheme="majorEastAsia" w:hAnsiTheme="majorHAnsi" w:cstheme="majorBidi"/>
          <w:color w:val="2F5496" w:themeColor="accent1" w:themeShade="BF"/>
          <w:sz w:val="26"/>
          <w:szCs w:val="26"/>
        </w:rPr>
      </w:pPr>
      <w:r>
        <w:br w:type="page"/>
      </w:r>
    </w:p>
    <w:p w14:paraId="2DD6E69E" w14:textId="67C89505" w:rsidR="00CB516E" w:rsidRDefault="00CB516E" w:rsidP="00075241">
      <w:pPr>
        <w:pStyle w:val="Titolo2"/>
      </w:pPr>
      <w:bookmarkStart w:id="1" w:name="_Toc157430695"/>
      <w:r>
        <w:lastRenderedPageBreak/>
        <w:t xml:space="preserve">Executive </w:t>
      </w:r>
      <w:proofErr w:type="spellStart"/>
      <w:r>
        <w:t>summary</w:t>
      </w:r>
      <w:bookmarkEnd w:id="1"/>
      <w:proofErr w:type="spellEnd"/>
    </w:p>
    <w:p w14:paraId="11612DC9" w14:textId="77777777" w:rsidR="00AA5BE9" w:rsidRDefault="00AA5BE9" w:rsidP="00AA5BE9"/>
    <w:p w14:paraId="3C4CC9A8" w14:textId="77777777" w:rsidR="00BA5F30" w:rsidRDefault="00BA5F30" w:rsidP="00AA5BE9"/>
    <w:p w14:paraId="5370C709" w14:textId="2186E17B" w:rsidR="00BA5F30" w:rsidRDefault="00BA5F30" w:rsidP="00206EC6">
      <w:pPr>
        <w:jc w:val="both"/>
      </w:pPr>
      <w:r w:rsidRPr="009139FF">
        <w:t xml:space="preserve">Il tema scelto per la terza annualità dell’osservatorio sull’internazionalizzazione è il rapporto tra internazionalizzazione, digitalizzazione e sostenibilità ambientale. </w:t>
      </w:r>
    </w:p>
    <w:p w14:paraId="5D7456E8" w14:textId="77777777" w:rsidR="00CE0841" w:rsidRDefault="00CE0841" w:rsidP="00206EC6">
      <w:pPr>
        <w:jc w:val="both"/>
      </w:pPr>
    </w:p>
    <w:p w14:paraId="019E125A" w14:textId="663C28CB" w:rsidR="005E0EAC" w:rsidRDefault="005E0EAC" w:rsidP="00206EC6">
      <w:pPr>
        <w:jc w:val="both"/>
      </w:pPr>
      <w:r>
        <w:t>Grazie alla rilevazione è stato possibile</w:t>
      </w:r>
      <w:r w:rsidR="005E60CE" w:rsidRPr="00700ED6">
        <w:t>,</w:t>
      </w:r>
      <w:r>
        <w:t xml:space="preserve"> in primo luogo</w:t>
      </w:r>
      <w:r w:rsidR="005E60CE" w:rsidRPr="00700ED6">
        <w:t>,</w:t>
      </w:r>
      <w:r>
        <w:t xml:space="preserve"> definire le </w:t>
      </w:r>
      <w:r w:rsidRPr="004B22F2">
        <w:rPr>
          <w:b/>
          <w:bCs/>
        </w:rPr>
        <w:t xml:space="preserve">strategie di </w:t>
      </w:r>
      <w:r w:rsidR="00EA2CEB" w:rsidRPr="004B22F2">
        <w:rPr>
          <w:b/>
          <w:bCs/>
        </w:rPr>
        <w:t>internazionalizzazione</w:t>
      </w:r>
      <w:r>
        <w:t xml:space="preserve"> delle imprese manifatturiere delle province di </w:t>
      </w:r>
      <w:r w:rsidR="00230262">
        <w:t>Treviso, Padova, Venezia e Rovigo</w:t>
      </w:r>
      <w:r>
        <w:t>.</w:t>
      </w:r>
    </w:p>
    <w:p w14:paraId="6129EE57" w14:textId="498E02AE" w:rsidR="008430C8" w:rsidRDefault="008430C8" w:rsidP="00206EC6">
      <w:pPr>
        <w:jc w:val="both"/>
      </w:pPr>
      <w:r>
        <w:t xml:space="preserve">Emergono quattro </w:t>
      </w:r>
      <w:r w:rsidR="00836EA1">
        <w:t xml:space="preserve">cluster/raggruppamenti di imprese che definiscono quattro </w:t>
      </w:r>
      <w:r w:rsidR="001E72D3">
        <w:t xml:space="preserve">corrispondenti </w:t>
      </w:r>
      <w:r>
        <w:t>approcci prevalenti</w:t>
      </w:r>
      <w:r w:rsidR="0018418C">
        <w:t xml:space="preserve"> (in ordine di decrescente grado di internazionalizzazione)</w:t>
      </w:r>
      <w:r w:rsidR="0032527A">
        <w:t>:</w:t>
      </w:r>
    </w:p>
    <w:p w14:paraId="73E2EA67" w14:textId="77777777" w:rsidR="0032527A" w:rsidRDefault="0032527A" w:rsidP="00206EC6">
      <w:pPr>
        <w:jc w:val="both"/>
      </w:pPr>
    </w:p>
    <w:p w14:paraId="6FDF4738" w14:textId="53035C4C" w:rsidR="0032527A" w:rsidRDefault="00F662BF" w:rsidP="00206EC6">
      <w:pPr>
        <w:pStyle w:val="Paragrafoelenco"/>
        <w:numPr>
          <w:ilvl w:val="0"/>
          <w:numId w:val="18"/>
        </w:numPr>
        <w:jc w:val="both"/>
      </w:pPr>
      <w:r>
        <w:t xml:space="preserve">Il </w:t>
      </w:r>
      <w:r w:rsidR="0032527A">
        <w:t xml:space="preserve">cluster </w:t>
      </w:r>
      <w:r w:rsidR="0032527A" w:rsidRPr="00720493">
        <w:rPr>
          <w:b/>
          <w:bCs/>
        </w:rPr>
        <w:t>“</w:t>
      </w:r>
      <w:r w:rsidR="00AA0AC1" w:rsidRPr="00720493">
        <w:rPr>
          <w:b/>
          <w:bCs/>
        </w:rPr>
        <w:t>I</w:t>
      </w:r>
      <w:r w:rsidR="0032527A" w:rsidRPr="00720493">
        <w:rPr>
          <w:b/>
          <w:bCs/>
        </w:rPr>
        <w:t>nternazionalizzati a 360°”</w:t>
      </w:r>
      <w:r w:rsidR="0032527A">
        <w:t xml:space="preserve"> (6% delle imprese totali) è composto da imprese di medio grandi </w:t>
      </w:r>
      <w:r w:rsidR="0032527A" w:rsidRPr="00087AD2">
        <w:t>d</w:t>
      </w:r>
      <w:r w:rsidR="00720493" w:rsidRPr="00087AD2">
        <w:t>imensioni che realizzano all’estero il 60,7% del fatturato (valore medio), di cui il 31% extra UE, e presentano un’</w:t>
      </w:r>
      <w:r w:rsidR="0032527A" w:rsidRPr="00087AD2">
        <w:t>articolazione</w:t>
      </w:r>
      <w:r w:rsidR="0032527A">
        <w:t xml:space="preserve"> internazionale molto ricc</w:t>
      </w:r>
      <w:r w:rsidR="00720493">
        <w:t xml:space="preserve">a in termini di forme di presenza: </w:t>
      </w:r>
      <w:r w:rsidR="0032527A">
        <w:t xml:space="preserve">non solamente export ma anche filiali, negozi, uffici commerciali o impianti di produzione situati all’estero. </w:t>
      </w:r>
    </w:p>
    <w:p w14:paraId="63BC12FF" w14:textId="01813A6E" w:rsidR="0032527A" w:rsidRDefault="0032527A" w:rsidP="00206EC6">
      <w:pPr>
        <w:pStyle w:val="Paragrafoelenco"/>
        <w:numPr>
          <w:ilvl w:val="0"/>
          <w:numId w:val="18"/>
        </w:numPr>
        <w:jc w:val="both"/>
      </w:pPr>
      <w:r w:rsidRPr="00347E42">
        <w:t xml:space="preserve">Il cluster </w:t>
      </w:r>
      <w:r w:rsidRPr="00347E42">
        <w:rPr>
          <w:b/>
          <w:bCs/>
        </w:rPr>
        <w:t>“</w:t>
      </w:r>
      <w:r w:rsidR="007F4571" w:rsidRPr="00347E42">
        <w:rPr>
          <w:b/>
          <w:bCs/>
        </w:rPr>
        <w:t>Esportatori globali</w:t>
      </w:r>
      <w:r w:rsidRPr="00347E42">
        <w:rPr>
          <w:b/>
          <w:bCs/>
        </w:rPr>
        <w:t>”</w:t>
      </w:r>
      <w:r w:rsidRPr="00347E42">
        <w:t xml:space="preserve"> è composto da imprese (il </w:t>
      </w:r>
      <w:r w:rsidR="00A93C36" w:rsidRPr="00347E42">
        <w:t>32,4</w:t>
      </w:r>
      <w:r w:rsidRPr="00347E42">
        <w:t>% del totale) c</w:t>
      </w:r>
      <w:r w:rsidR="00720493" w:rsidRPr="00347E42">
        <w:t>he realizzano all’estero una quota media di fatturato del 73,3%</w:t>
      </w:r>
      <w:r w:rsidR="00973677" w:rsidRPr="00347E42">
        <w:t xml:space="preserve"> (44,9%</w:t>
      </w:r>
      <w:r w:rsidR="00C53A6E" w:rsidRPr="00347E42">
        <w:t xml:space="preserve"> nei </w:t>
      </w:r>
      <w:r w:rsidR="003F20CE" w:rsidRPr="00347E42">
        <w:t>P</w:t>
      </w:r>
      <w:r w:rsidR="00C53A6E" w:rsidRPr="00347E42">
        <w:t xml:space="preserve">aesi </w:t>
      </w:r>
      <w:r w:rsidR="00973677" w:rsidRPr="00347E42">
        <w:t xml:space="preserve">UE), </w:t>
      </w:r>
      <w:r w:rsidRPr="00347E42">
        <w:t>ma la cui presenza</w:t>
      </w:r>
      <w:r>
        <w:t xml:space="preserve"> internazionale si limita, prevalentemente, alla vendita diretta o in regime di subfornitura. </w:t>
      </w:r>
    </w:p>
    <w:p w14:paraId="4131B0F4" w14:textId="1F69B97F" w:rsidR="0032527A" w:rsidRDefault="0032527A" w:rsidP="00206EC6">
      <w:pPr>
        <w:pStyle w:val="Paragrafoelenco"/>
        <w:numPr>
          <w:ilvl w:val="0"/>
          <w:numId w:val="18"/>
        </w:numPr>
        <w:jc w:val="both"/>
      </w:pPr>
      <w:r>
        <w:t xml:space="preserve">Il cluster </w:t>
      </w:r>
      <w:r w:rsidRPr="00973677">
        <w:rPr>
          <w:b/>
          <w:bCs/>
        </w:rPr>
        <w:t>“</w:t>
      </w:r>
      <w:r w:rsidR="00AA0AC1" w:rsidRPr="00973677">
        <w:rPr>
          <w:b/>
          <w:bCs/>
        </w:rPr>
        <w:t>E</w:t>
      </w:r>
      <w:r w:rsidRPr="00973677">
        <w:rPr>
          <w:b/>
          <w:bCs/>
        </w:rPr>
        <w:t xml:space="preserve">sportatori </w:t>
      </w:r>
      <w:r w:rsidR="00FB642C" w:rsidRPr="00973677">
        <w:rPr>
          <w:b/>
          <w:bCs/>
        </w:rPr>
        <w:t>attenti al mercato domestico</w:t>
      </w:r>
      <w:r w:rsidRPr="00973677">
        <w:rPr>
          <w:b/>
          <w:bCs/>
        </w:rPr>
        <w:t>”</w:t>
      </w:r>
      <w:r>
        <w:t xml:space="preserve"> è composto da imprese (35,6%</w:t>
      </w:r>
      <w:r w:rsidR="002E2C17">
        <w:t xml:space="preserve"> del totale</w:t>
      </w:r>
      <w:r>
        <w:t>) il cui fatturato è conseguito</w:t>
      </w:r>
      <w:r w:rsidR="00FE2E1E">
        <w:t xml:space="preserve"> per il 23,9% (valore medio) all’estero</w:t>
      </w:r>
      <w:r>
        <w:t xml:space="preserve">. Una parte di queste articola la propria proiezione all’estero attraverso l’importazione diretta di materiali e componenti. Si tratta di imprese che nel </w:t>
      </w:r>
      <w:r w:rsidR="00F6441F">
        <w:t>5</w:t>
      </w:r>
      <w:r>
        <w:t>5% circa dei casi hanno meno di 50 addetti e con fatturato in prevalenza sotto i 10 milioni di euro.</w:t>
      </w:r>
    </w:p>
    <w:p w14:paraId="00FC1BAE" w14:textId="73BFEDEF" w:rsidR="008E3B98" w:rsidRDefault="0032527A" w:rsidP="00206EC6">
      <w:pPr>
        <w:pStyle w:val="Paragrafoelenco"/>
        <w:numPr>
          <w:ilvl w:val="0"/>
          <w:numId w:val="18"/>
        </w:numPr>
        <w:jc w:val="both"/>
      </w:pPr>
      <w:r>
        <w:t xml:space="preserve">Il cluster </w:t>
      </w:r>
      <w:r w:rsidRPr="00973677">
        <w:rPr>
          <w:b/>
          <w:bCs/>
        </w:rPr>
        <w:t>“</w:t>
      </w:r>
      <w:r w:rsidR="00CA4FA1" w:rsidRPr="00973677">
        <w:rPr>
          <w:b/>
          <w:bCs/>
        </w:rPr>
        <w:t xml:space="preserve">Esportatori </w:t>
      </w:r>
      <w:r w:rsidR="001269C1" w:rsidRPr="00973677">
        <w:rPr>
          <w:b/>
          <w:bCs/>
        </w:rPr>
        <w:t>occasionali</w:t>
      </w:r>
      <w:r w:rsidR="00CA4FA1" w:rsidRPr="00973677">
        <w:rPr>
          <w:b/>
          <w:bCs/>
        </w:rPr>
        <w:t>/non esportatori</w:t>
      </w:r>
      <w:r w:rsidRPr="00973677">
        <w:rPr>
          <w:b/>
          <w:bCs/>
        </w:rPr>
        <w:t>”</w:t>
      </w:r>
      <w:r>
        <w:t xml:space="preserve"> è composto prevalentemente da imprese (26% del totale) che non esportano o generano attraverso le esportazioni una quota molto limitata dei ricavi total</w:t>
      </w:r>
      <w:r w:rsidR="00105196">
        <w:t>i</w:t>
      </w:r>
      <w:r>
        <w:t xml:space="preserve">. Sono principalmente di piccole dimensioni e fatturano in media meno di </w:t>
      </w:r>
      <w:proofErr w:type="gramStart"/>
      <w:r>
        <w:t>10</w:t>
      </w:r>
      <w:proofErr w:type="gramEnd"/>
      <w:r>
        <w:t xml:space="preserve"> milioni di euro. Il loro rapporto di vendita in mercati esteri è prevalentemente occasionale.</w:t>
      </w:r>
    </w:p>
    <w:p w14:paraId="4EA37605" w14:textId="77777777" w:rsidR="00A60E40" w:rsidRDefault="00A60E40" w:rsidP="00206EC6">
      <w:pPr>
        <w:jc w:val="both"/>
      </w:pPr>
    </w:p>
    <w:p w14:paraId="6B8A10C7" w14:textId="25172194" w:rsidR="003450AC" w:rsidRDefault="003450AC" w:rsidP="00206EC6">
      <w:pPr>
        <w:jc w:val="both"/>
      </w:pPr>
      <w:r>
        <w:t xml:space="preserve">I </w:t>
      </w:r>
      <w:r w:rsidR="003F20CE" w:rsidRPr="003F20CE">
        <w:rPr>
          <w:b/>
          <w:bCs/>
        </w:rPr>
        <w:t>P</w:t>
      </w:r>
      <w:r w:rsidRPr="00973677">
        <w:rPr>
          <w:b/>
          <w:bCs/>
        </w:rPr>
        <w:t>aesi target</w:t>
      </w:r>
      <w:r w:rsidR="00266BEF">
        <w:t xml:space="preserve"> più rilevanti</w:t>
      </w:r>
      <w:r>
        <w:t xml:space="preserve"> per l’export nel 2024</w:t>
      </w:r>
      <w:r w:rsidR="00297009">
        <w:t xml:space="preserve"> risultano essere </w:t>
      </w:r>
      <w:r w:rsidR="00266BEF">
        <w:t>Germania, Francia e Stati Uniti.</w:t>
      </w:r>
    </w:p>
    <w:p w14:paraId="373992EB" w14:textId="7B191FA5" w:rsidR="003450AC" w:rsidRDefault="006F5836" w:rsidP="00206EC6">
      <w:pPr>
        <w:jc w:val="both"/>
      </w:pPr>
      <w:r>
        <w:t>Tra i paesi indicati non appare la Cina</w:t>
      </w:r>
      <w:r w:rsidR="00E34342">
        <w:t>, al contrario degli Emirati Arabi Uniti.</w:t>
      </w:r>
    </w:p>
    <w:p w14:paraId="66D0F13C" w14:textId="77777777" w:rsidR="007E0040" w:rsidRDefault="007E0040" w:rsidP="00206EC6">
      <w:pPr>
        <w:jc w:val="both"/>
      </w:pPr>
    </w:p>
    <w:p w14:paraId="3E52962E" w14:textId="77777777" w:rsidR="00DE2F86" w:rsidRDefault="00DE2F86" w:rsidP="00206EC6">
      <w:pPr>
        <w:jc w:val="both"/>
      </w:pPr>
    </w:p>
    <w:p w14:paraId="4C155741" w14:textId="3AB7BFED" w:rsidR="00422909" w:rsidRDefault="000E79C4" w:rsidP="00206EC6">
      <w:pPr>
        <w:spacing w:after="160"/>
        <w:jc w:val="both"/>
      </w:pPr>
      <w:r w:rsidRPr="004B22F2">
        <w:rPr>
          <w:b/>
          <w:bCs/>
        </w:rPr>
        <w:t>Revisione delle catene di fornitura</w:t>
      </w:r>
      <w:r>
        <w:t>:</w:t>
      </w:r>
      <w:r w:rsidR="00422909" w:rsidRPr="00422909">
        <w:t xml:space="preserve"> </w:t>
      </w:r>
      <w:r w:rsidR="00422909">
        <w:t xml:space="preserve">la ridefinizione delle catene di fornitura sembra ancora in atto. E la direzione (quella del riavvicinamento) appare ancora valida, anche se si segnala una riduzione dell’intensità del fenomeno e una riduzione della preferenza verso il riavvicinamento, che rimane, comunque, la scelta di gran lunga più gettonata. </w:t>
      </w:r>
    </w:p>
    <w:p w14:paraId="4FF12955" w14:textId="37B945C5" w:rsidR="00FB34F0" w:rsidRDefault="00FB34F0" w:rsidP="00206EC6">
      <w:pPr>
        <w:pStyle w:val="Paragrafoelenco"/>
        <w:numPr>
          <w:ilvl w:val="0"/>
          <w:numId w:val="19"/>
        </w:numPr>
        <w:jc w:val="both"/>
      </w:pPr>
      <w:r>
        <w:t xml:space="preserve">Nel 2023 la percentuale di imprese che ha cambiato almeno un fornitore strategico si attesta al 28,2%. </w:t>
      </w:r>
    </w:p>
    <w:p w14:paraId="6184B095" w14:textId="4C8906D8" w:rsidR="000E79C4" w:rsidRDefault="00D76FE5" w:rsidP="00206EC6">
      <w:pPr>
        <w:pStyle w:val="Paragrafoelenco"/>
        <w:numPr>
          <w:ilvl w:val="0"/>
          <w:numId w:val="19"/>
        </w:numPr>
        <w:jc w:val="both"/>
      </w:pPr>
      <w:r>
        <w:t>Tra le aziende che hanno dichiarato di aver cambiato almeno un fornitore strategico, il 53,3% ha scelto di avvicinarlo in Italia.</w:t>
      </w:r>
    </w:p>
    <w:p w14:paraId="67204E88" w14:textId="77777777" w:rsidR="003450AC" w:rsidRDefault="003450AC" w:rsidP="00206EC6">
      <w:pPr>
        <w:jc w:val="both"/>
      </w:pPr>
    </w:p>
    <w:p w14:paraId="28124DDE" w14:textId="77777777" w:rsidR="00DE2F86" w:rsidRDefault="00DE2F86" w:rsidP="00206EC6">
      <w:pPr>
        <w:jc w:val="both"/>
      </w:pPr>
    </w:p>
    <w:p w14:paraId="087EFF05" w14:textId="77777777" w:rsidR="00EF376F" w:rsidRDefault="00EF376F" w:rsidP="00206EC6">
      <w:pPr>
        <w:jc w:val="both"/>
      </w:pPr>
    </w:p>
    <w:p w14:paraId="3926C6F1" w14:textId="77777777" w:rsidR="003E141E" w:rsidRDefault="003E141E" w:rsidP="00206EC6">
      <w:pPr>
        <w:jc w:val="both"/>
      </w:pPr>
    </w:p>
    <w:p w14:paraId="42734A47" w14:textId="18CF91E1" w:rsidR="008E3B98" w:rsidRPr="004B22F2" w:rsidRDefault="008E3B98" w:rsidP="00206EC6">
      <w:pPr>
        <w:jc w:val="both"/>
        <w:rPr>
          <w:b/>
          <w:bCs/>
        </w:rPr>
      </w:pPr>
      <w:r w:rsidRPr="004B22F2">
        <w:rPr>
          <w:b/>
          <w:bCs/>
        </w:rPr>
        <w:lastRenderedPageBreak/>
        <w:t>Sostenibilità ambientale e internazionalizzazione</w:t>
      </w:r>
      <w:r w:rsidR="00537364" w:rsidRPr="00537364">
        <w:t>:</w:t>
      </w:r>
      <w:r w:rsidR="00702B5E">
        <w:t xml:space="preserve"> la sostenibilità appare un fattore competitivo sempre più importante sui mercati internazionali. </w:t>
      </w:r>
    </w:p>
    <w:p w14:paraId="6F121F24" w14:textId="77777777" w:rsidR="008E3B98" w:rsidRDefault="008E3B98" w:rsidP="00206EC6">
      <w:pPr>
        <w:jc w:val="both"/>
      </w:pPr>
    </w:p>
    <w:p w14:paraId="090C6B0A" w14:textId="45E013CC" w:rsidR="00AA5BE9" w:rsidRDefault="00AA5BE9" w:rsidP="00206EC6">
      <w:pPr>
        <w:pStyle w:val="Paragrafoelenco"/>
        <w:numPr>
          <w:ilvl w:val="0"/>
          <w:numId w:val="17"/>
        </w:numPr>
        <w:jc w:val="both"/>
      </w:pPr>
      <w:r>
        <w:t xml:space="preserve">L’83% delle imprese ritiene che la sostenibilità sia importante o molto </w:t>
      </w:r>
      <w:r w:rsidR="00625B4B">
        <w:t>importante</w:t>
      </w:r>
      <w:r>
        <w:t xml:space="preserve"> </w:t>
      </w:r>
      <w:r w:rsidRPr="00AA5BE9">
        <w:t xml:space="preserve">per il successo </w:t>
      </w:r>
      <w:r w:rsidR="00625B4B">
        <w:t xml:space="preserve">della propria espansione internazionale. </w:t>
      </w:r>
    </w:p>
    <w:p w14:paraId="01C743F9" w14:textId="4AD70715" w:rsidR="0022067A" w:rsidRDefault="0022067A" w:rsidP="00206EC6">
      <w:pPr>
        <w:pStyle w:val="Paragrafoelenco"/>
        <w:numPr>
          <w:ilvl w:val="0"/>
          <w:numId w:val="17"/>
        </w:numPr>
        <w:jc w:val="both"/>
      </w:pPr>
      <w:r>
        <w:t xml:space="preserve">Secondo l’80,9% delle imprese intervistate adottare </w:t>
      </w:r>
      <w:r w:rsidRPr="00A73F50">
        <w:t xml:space="preserve">politiche finalizzate ad aumentare la sostenibilità ambientale </w:t>
      </w:r>
      <w:r>
        <w:t>incrementa</w:t>
      </w:r>
      <w:r w:rsidRPr="00A73F50">
        <w:t xml:space="preserve"> la reputazione internazionale</w:t>
      </w:r>
      <w:r>
        <w:t>.</w:t>
      </w:r>
    </w:p>
    <w:p w14:paraId="40561D1F" w14:textId="691A0951" w:rsidR="00BD7738" w:rsidRDefault="00BD7738" w:rsidP="00206EC6">
      <w:pPr>
        <w:pStyle w:val="Paragrafoelenco"/>
        <w:numPr>
          <w:ilvl w:val="0"/>
          <w:numId w:val="17"/>
        </w:numPr>
        <w:jc w:val="both"/>
      </w:pPr>
      <w:r>
        <w:t xml:space="preserve">Il 53% delle imprese segnala </w:t>
      </w:r>
      <w:r w:rsidR="00B75D0E">
        <w:t>un aumento dell’interesse da parte di clienti e fornitori internazionali verso le politiche di sostenibilità ambientale dell’impresa.</w:t>
      </w:r>
    </w:p>
    <w:p w14:paraId="63B9D994" w14:textId="51121780" w:rsidR="00271A88" w:rsidRPr="00347E42" w:rsidRDefault="00271A88" w:rsidP="00206EC6">
      <w:pPr>
        <w:pStyle w:val="Paragrafoelenco"/>
        <w:numPr>
          <w:ilvl w:val="0"/>
          <w:numId w:val="17"/>
        </w:numPr>
        <w:jc w:val="both"/>
      </w:pPr>
      <w:r>
        <w:t xml:space="preserve">Il 34,8% delle imprese </w:t>
      </w:r>
      <w:r w:rsidR="000D6026">
        <w:t xml:space="preserve">ritiene che le politiche di sostenibilità ambientale abbiano facilitato l’accesso ad alcuni </w:t>
      </w:r>
      <w:r w:rsidR="00F238AD">
        <w:t xml:space="preserve">mercati </w:t>
      </w:r>
      <w:r w:rsidR="00F238AD" w:rsidRPr="00347E42">
        <w:t>internazional</w:t>
      </w:r>
      <w:r w:rsidR="00CA72BD" w:rsidRPr="00347E42">
        <w:t>i, quota che sale al 49,5% per le imprese più grandi.</w:t>
      </w:r>
      <w:r w:rsidR="00F238AD" w:rsidRPr="00347E42">
        <w:t xml:space="preserve"> </w:t>
      </w:r>
    </w:p>
    <w:p w14:paraId="02758F3A" w14:textId="34B2083F" w:rsidR="0097293B" w:rsidRDefault="0039342B" w:rsidP="00206EC6">
      <w:pPr>
        <w:pStyle w:val="Paragrafoelenco"/>
        <w:numPr>
          <w:ilvl w:val="0"/>
          <w:numId w:val="17"/>
        </w:numPr>
        <w:jc w:val="both"/>
      </w:pPr>
      <w:r>
        <w:t>La prima tra le difficoltà incontrate nell’investire per promuovere la sostenibilità come parte del processo di internazionalizzazione risulta essere il c</w:t>
      </w:r>
      <w:r w:rsidRPr="009E5335">
        <w:t>ost</w:t>
      </w:r>
      <w:r>
        <w:t xml:space="preserve">o </w:t>
      </w:r>
      <w:r w:rsidRPr="009E5335">
        <w:t>eccessiv</w:t>
      </w:r>
      <w:r>
        <w:t>o</w:t>
      </w:r>
      <w:r w:rsidR="001E3D9B">
        <w:t>,</w:t>
      </w:r>
      <w:r w:rsidRPr="009E5335">
        <w:t xml:space="preserve"> a fronte di un ritorno economico incerto o non chiaramente quantificabile</w:t>
      </w:r>
      <w:r>
        <w:t xml:space="preserve"> (38,3% del totale, 49,4% tra le imprese con ricavi compresi tra 25 e 50 milioni).</w:t>
      </w:r>
    </w:p>
    <w:p w14:paraId="0F2D2A76" w14:textId="0BCBE840" w:rsidR="00AB400F" w:rsidRDefault="0097293B" w:rsidP="00206EC6">
      <w:pPr>
        <w:pStyle w:val="Paragrafoelenco"/>
        <w:numPr>
          <w:ilvl w:val="0"/>
          <w:numId w:val="17"/>
        </w:numPr>
        <w:jc w:val="both"/>
      </w:pPr>
      <w:r>
        <w:t>Il 38,4% delle imprese segnala difficoltà nel monitorare il rispetto dei principi della sostenibilità lungo tutta la catena di approvvigionamento.</w:t>
      </w:r>
    </w:p>
    <w:p w14:paraId="3369401A" w14:textId="35B595A5" w:rsidR="00AC7436" w:rsidRDefault="00AC7436" w:rsidP="00206EC6">
      <w:pPr>
        <w:pStyle w:val="Paragrafoelenco"/>
        <w:numPr>
          <w:ilvl w:val="0"/>
          <w:numId w:val="17"/>
        </w:numPr>
        <w:jc w:val="both"/>
      </w:pPr>
      <w:r>
        <w:t>Il 61,4% delle imprese con ricavi superiori a 50 milioni, h</w:t>
      </w:r>
      <w:r w:rsidRPr="00FF5A07">
        <w:t>a ricevuto richieste da investitori, partner finanziari</w:t>
      </w:r>
      <w:r w:rsidR="00607377">
        <w:t xml:space="preserve"> e</w:t>
      </w:r>
      <w:r w:rsidRPr="00FF5A07">
        <w:t xml:space="preserve"> attori del sistema creditizio riguardo alle politiche e alle performance di sostenibilità dell'impresa</w:t>
      </w:r>
      <w:r w:rsidR="00CC30C7">
        <w:t>;</w:t>
      </w:r>
      <w:r>
        <w:t xml:space="preserve"> 36,8% il dato generale.</w:t>
      </w:r>
    </w:p>
    <w:p w14:paraId="557C48ED" w14:textId="77777777" w:rsidR="0097293B" w:rsidRDefault="0097293B" w:rsidP="00206EC6">
      <w:pPr>
        <w:jc w:val="both"/>
      </w:pPr>
    </w:p>
    <w:p w14:paraId="417B17CA" w14:textId="77777777" w:rsidR="0097293B" w:rsidRDefault="0097293B" w:rsidP="00206EC6">
      <w:pPr>
        <w:jc w:val="both"/>
      </w:pPr>
    </w:p>
    <w:p w14:paraId="24683AE8" w14:textId="77BD3C58" w:rsidR="00AA5BE9" w:rsidRPr="004B22F2" w:rsidRDefault="0097293B" w:rsidP="00206EC6">
      <w:pPr>
        <w:jc w:val="both"/>
        <w:rPr>
          <w:b/>
          <w:bCs/>
        </w:rPr>
      </w:pPr>
      <w:r w:rsidRPr="004B22F2">
        <w:rPr>
          <w:b/>
          <w:bCs/>
        </w:rPr>
        <w:t>Digitalizzazione come strumento di internazionalizzazione</w:t>
      </w:r>
      <w:r w:rsidR="0094517F" w:rsidRPr="0094517F">
        <w:t xml:space="preserve">: la digitalizzazione si conferma come fattore abilitante nei processi di internazionalizzazione. </w:t>
      </w:r>
    </w:p>
    <w:p w14:paraId="7475E96E" w14:textId="77777777" w:rsidR="00DE2F86" w:rsidRDefault="00DE2F86" w:rsidP="00206EC6">
      <w:pPr>
        <w:jc w:val="both"/>
      </w:pPr>
    </w:p>
    <w:p w14:paraId="57477DD4" w14:textId="454760EB" w:rsidR="0097293B" w:rsidRDefault="00DE2F86" w:rsidP="00206EC6">
      <w:pPr>
        <w:pStyle w:val="Paragrafoelenco"/>
        <w:numPr>
          <w:ilvl w:val="0"/>
          <w:numId w:val="20"/>
        </w:numPr>
        <w:jc w:val="both"/>
      </w:pPr>
      <w:r>
        <w:t xml:space="preserve">La digitalizzazione è risultata “molto” o “moltissimo” utile da </w:t>
      </w:r>
      <w:r w:rsidR="0039792F">
        <w:t>due imprese</w:t>
      </w:r>
      <w:r>
        <w:t xml:space="preserve"> su </w:t>
      </w:r>
      <w:r w:rsidR="0039792F">
        <w:t>tre</w:t>
      </w:r>
      <w:r>
        <w:t xml:space="preserve"> </w:t>
      </w:r>
      <w:r w:rsidR="0039792F">
        <w:t>nell’ambito</w:t>
      </w:r>
      <w:r>
        <w:t xml:space="preserve"> della c</w:t>
      </w:r>
      <w:r w:rsidRPr="000B102A">
        <w:t>ollaborazione e</w:t>
      </w:r>
      <w:r w:rsidR="00D14080">
        <w:t xml:space="preserve"> </w:t>
      </w:r>
      <w:r w:rsidRPr="000B102A">
        <w:t xml:space="preserve">comunicazione remota </w:t>
      </w:r>
      <w:r>
        <w:t xml:space="preserve">(il 67,2%), </w:t>
      </w:r>
      <w:r w:rsidR="00FA5290">
        <w:t xml:space="preserve">e da più della metà </w:t>
      </w:r>
      <w:r>
        <w:t>in quello della el</w:t>
      </w:r>
      <w:r w:rsidRPr="00CA2661">
        <w:t>aborazione degli ordini e/o</w:t>
      </w:r>
      <w:r>
        <w:t xml:space="preserve"> della loro</w:t>
      </w:r>
      <w:r w:rsidRPr="00CA2661">
        <w:t xml:space="preserve"> gestione automatizzata </w:t>
      </w:r>
      <w:r>
        <w:t>(56%) e nella capacità di supportare i clienti (53%).</w:t>
      </w:r>
    </w:p>
    <w:p w14:paraId="38AFE257" w14:textId="7D9CCE8D" w:rsidR="00BF7017" w:rsidRPr="00BF7017" w:rsidRDefault="00DE2F86" w:rsidP="00BF7017">
      <w:pPr>
        <w:pStyle w:val="Paragrafoelenco"/>
        <w:numPr>
          <w:ilvl w:val="0"/>
          <w:numId w:val="20"/>
        </w:numPr>
        <w:jc w:val="both"/>
      </w:pPr>
      <w:r>
        <w:t xml:space="preserve">Le imprese intendono investire in futuro principalmente su progetti finalizzati ad aumentare la presenza online (52,1% delle imprese), </w:t>
      </w:r>
      <w:r w:rsidR="00566595">
        <w:t xml:space="preserve">campo </w:t>
      </w:r>
      <w:r>
        <w:t xml:space="preserve">seguito da investimenti </w:t>
      </w:r>
      <w:r w:rsidR="00BF7017">
        <w:t xml:space="preserve">nel </w:t>
      </w:r>
      <w:r>
        <w:t>marketing digitale (38,1%)</w:t>
      </w:r>
      <w:r w:rsidR="00BF7017">
        <w:t xml:space="preserve"> </w:t>
      </w:r>
      <w:r w:rsidR="00BF7017" w:rsidRPr="00347E42">
        <w:t>e nell’adozione di software per la mappatura e gestione dei rischi (34,4%), compresi quelli di sostenibilità ambientale.</w:t>
      </w:r>
    </w:p>
    <w:p w14:paraId="234F767B" w14:textId="496665D2" w:rsidR="00C417E7" w:rsidRDefault="00C417E7" w:rsidP="00206EC6">
      <w:pPr>
        <w:pStyle w:val="Paragrafoelenco"/>
        <w:numPr>
          <w:ilvl w:val="0"/>
          <w:numId w:val="20"/>
        </w:numPr>
        <w:jc w:val="both"/>
      </w:pPr>
      <w:r>
        <w:t>Il miglioramento della presenza on-line sembra interessare con maggior</w:t>
      </w:r>
      <w:r w:rsidR="00BF7017">
        <w:t xml:space="preserve">e </w:t>
      </w:r>
      <w:r w:rsidR="00487C1B">
        <w:t>intensità</w:t>
      </w:r>
      <w:r>
        <w:t xml:space="preserve"> le imprese medio piccole (2-10 </w:t>
      </w:r>
      <w:r w:rsidR="002F79D6">
        <w:t xml:space="preserve">milioni </w:t>
      </w:r>
      <w:r>
        <w:t>di ricavi)</w:t>
      </w:r>
      <w:r w:rsidR="003557CD">
        <w:t xml:space="preserve">, </w:t>
      </w:r>
      <w:r w:rsidR="00487C1B" w:rsidRPr="00487C1B">
        <w:t xml:space="preserve">che quindi si avviano a diminuire il </w:t>
      </w:r>
      <w:proofErr w:type="gramStart"/>
      <w:r w:rsidR="00487C1B" w:rsidRPr="00487C1B">
        <w:t>gap</w:t>
      </w:r>
      <w:proofErr w:type="gramEnd"/>
      <w:r w:rsidR="00487C1B" w:rsidRPr="00487C1B">
        <w:t xml:space="preserve"> con </w:t>
      </w:r>
      <w:r w:rsidR="00487C1B">
        <w:t>quelle di</w:t>
      </w:r>
      <w:r w:rsidR="003557CD">
        <w:t xml:space="preserve"> più grandi dimension</w:t>
      </w:r>
      <w:r w:rsidR="00487C1B">
        <w:t xml:space="preserve">i, con </w:t>
      </w:r>
      <w:r w:rsidR="00F02B45">
        <w:t>un passato</w:t>
      </w:r>
      <w:r w:rsidR="00487C1B">
        <w:t xml:space="preserve"> più consolidat</w:t>
      </w:r>
      <w:r w:rsidR="00F02B45">
        <w:t>o</w:t>
      </w:r>
      <w:r w:rsidR="00487C1B">
        <w:t xml:space="preserve"> nel campo</w:t>
      </w:r>
      <w:r w:rsidR="00216370">
        <w:t>.</w:t>
      </w:r>
    </w:p>
    <w:p w14:paraId="5A8AD1AB" w14:textId="77777777" w:rsidR="00AA5BE9" w:rsidRPr="00AA5BE9" w:rsidRDefault="00AA5BE9" w:rsidP="00206EC6">
      <w:pPr>
        <w:jc w:val="both"/>
      </w:pPr>
    </w:p>
    <w:p w14:paraId="1F52E059" w14:textId="77777777" w:rsidR="00CB516E" w:rsidRDefault="00CB516E" w:rsidP="00075241"/>
    <w:p w14:paraId="2F8642E6" w14:textId="77777777" w:rsidR="00F36597" w:rsidRDefault="00F36597" w:rsidP="00075241"/>
    <w:p w14:paraId="2E2B8DBB" w14:textId="77777777" w:rsidR="00F36597" w:rsidRDefault="00F36597" w:rsidP="00075241"/>
    <w:p w14:paraId="103EA76E" w14:textId="77777777" w:rsidR="00F36597" w:rsidRPr="00AA5BE9" w:rsidRDefault="00F36597" w:rsidP="00AA5BE9">
      <w:pPr>
        <w:pStyle w:val="Paragrafoelenco"/>
        <w:numPr>
          <w:ilvl w:val="0"/>
          <w:numId w:val="16"/>
        </w:numPr>
        <w:rPr>
          <w:rFonts w:asciiTheme="majorHAnsi" w:eastAsiaTheme="majorEastAsia" w:hAnsiTheme="majorHAnsi" w:cstheme="majorBidi"/>
          <w:color w:val="2F5496" w:themeColor="accent1" w:themeShade="BF"/>
          <w:sz w:val="26"/>
          <w:szCs w:val="26"/>
        </w:rPr>
      </w:pPr>
      <w:r>
        <w:br w:type="page"/>
      </w:r>
    </w:p>
    <w:p w14:paraId="56F169D5" w14:textId="77777777" w:rsidR="009B6582" w:rsidRPr="009B6582" w:rsidRDefault="009B6582" w:rsidP="009B6582">
      <w:pPr>
        <w:pStyle w:val="Titolo2"/>
      </w:pPr>
      <w:bookmarkStart w:id="2" w:name="_Toc92981624"/>
      <w:bookmarkStart w:id="3" w:name="_Toc157430696"/>
      <w:bookmarkStart w:id="4" w:name="_Toc90541758"/>
      <w:bookmarkStart w:id="5" w:name="_Toc124497870"/>
      <w:r w:rsidRPr="009B6582">
        <w:lastRenderedPageBreak/>
        <w:t>Quadro generale</w:t>
      </w:r>
      <w:bookmarkEnd w:id="2"/>
      <w:bookmarkEnd w:id="3"/>
    </w:p>
    <w:p w14:paraId="0675EF77" w14:textId="77777777" w:rsidR="009B6582" w:rsidRDefault="009B6582" w:rsidP="009B6582"/>
    <w:p w14:paraId="3DAB4BE2" w14:textId="77777777" w:rsidR="009B6582" w:rsidRDefault="009B6582" w:rsidP="009B6582"/>
    <w:p w14:paraId="75706EF6" w14:textId="77777777" w:rsidR="009B6582" w:rsidRDefault="009B6582" w:rsidP="001B214E">
      <w:pPr>
        <w:contextualSpacing/>
        <w:jc w:val="both"/>
      </w:pPr>
      <w:r w:rsidRPr="009B6582">
        <w:rPr>
          <w:b/>
          <w:bCs/>
        </w:rPr>
        <w:t>L’economia globale continua a confrontarsi con prospettive di crescita relativamente modeste</w:t>
      </w:r>
      <w:r w:rsidRPr="009B6582">
        <w:t xml:space="preserve">. La dinamica del Pil è infatti prevista quest’anno in relativo rallentamento, come riflesso del dispiegarsi di alcuni effetti ritardati delle politiche monetarie restrittive nei Paesi più avanzati, della debole crescita del commercio e, più in generale, di un relativo peggioramento nel quadro dei rischi. </w:t>
      </w:r>
    </w:p>
    <w:p w14:paraId="70C0F725" w14:textId="77777777" w:rsidR="001B214E" w:rsidRPr="009B6582" w:rsidRDefault="001B214E" w:rsidP="001B214E">
      <w:pPr>
        <w:contextualSpacing/>
        <w:jc w:val="both"/>
      </w:pPr>
    </w:p>
    <w:p w14:paraId="755DBF30" w14:textId="77777777" w:rsidR="009B6582" w:rsidRDefault="009B6582" w:rsidP="001B214E">
      <w:pPr>
        <w:contextualSpacing/>
        <w:jc w:val="both"/>
      </w:pPr>
      <w:r w:rsidRPr="009B6582">
        <w:rPr>
          <w:b/>
          <w:bCs/>
        </w:rPr>
        <w:t>La crescita del Pil globale è prevista avanzare del 2,3% nel 2024, un ritmo in calo rispetto al +2,7% stimato nell’anno appena chiuso</w:t>
      </w:r>
      <w:r w:rsidRPr="009B6582">
        <w:t xml:space="preserve"> e al +3,1% segnato nel 2022, secondo lo scenario base di Oxford Economics. A livello settoriale, si riscontrano segnali positivi prevalentemente nella performance dei servizi: il relativo </w:t>
      </w:r>
      <w:proofErr w:type="spellStart"/>
      <w:r w:rsidRPr="009B6582">
        <w:t>Purchasing</w:t>
      </w:r>
      <w:proofErr w:type="spellEnd"/>
      <w:r w:rsidRPr="009B6582">
        <w:t xml:space="preserve"> Managers’ Index (PMI) globale si è mantenuto sistematicamente sopra la soglia neutrale nel corso del 2023, indicando quindi una crescita positiva per il settore. Di contro, la dinamica della produzione industriale mondiale è risultata pressoché stazionaria, con un mero incremento dello 0,7% tendenziale in volume realizzato tra gennaio e ottobre; al contempo anche i valori del PMI manifatturiero, appena al di sotto della soglia, confermano la moderazione dei ritmi produttivi, ascrivibile soprattutto alla componente dei nuovi ordini, specie quelli esteri. </w:t>
      </w:r>
    </w:p>
    <w:p w14:paraId="788657EE" w14:textId="77777777" w:rsidR="001B214E" w:rsidRPr="009B6582" w:rsidRDefault="001B214E" w:rsidP="001B214E">
      <w:pPr>
        <w:contextualSpacing/>
        <w:jc w:val="both"/>
        <w:rPr>
          <w:highlight w:val="yellow"/>
        </w:rPr>
      </w:pPr>
    </w:p>
    <w:p w14:paraId="287C7CF7" w14:textId="77777777" w:rsidR="009B6582" w:rsidRDefault="009B6582" w:rsidP="001B214E">
      <w:pPr>
        <w:contextualSpacing/>
        <w:jc w:val="both"/>
      </w:pPr>
      <w:r w:rsidRPr="009B6582">
        <w:rPr>
          <w:b/>
          <w:bCs/>
        </w:rPr>
        <w:t>L’inflazione complessiva è diminuita – seppur più lentamente del previsto – in quasi tutte le economie</w:t>
      </w:r>
      <w:r w:rsidRPr="009B6582">
        <w:t>, allentando in parte la pressione sui redditi delle famiglie, sebbene l’inflazione di fondo (che esclude le componenti più volatili, come i generi alimentari e i costi dell’energia) rimanga ancora relativamente elevata. Si prevede che l’inflazione annua dei prezzi al consumo continuerà a calare gradualmente con l’attenuazione delle pressioni sui costi, scendendo al 4,1% nel 2024, dal 6,0% nell’anno appena concluso e riportandosi nei target delle banche centrali nelle principali economie – in assenza di ulteriori shock ai prezzi – entro il 2025. Sulla base di queste aspettative, si attendono quindi progressive misure di diminuzione dei tassi di interesse a partire dalla seconda metà di quest’anno.</w:t>
      </w:r>
    </w:p>
    <w:p w14:paraId="6B6C979B" w14:textId="77777777" w:rsidR="001B214E" w:rsidRPr="005F3D38" w:rsidRDefault="001B214E" w:rsidP="001B214E">
      <w:pPr>
        <w:contextualSpacing/>
        <w:jc w:val="both"/>
      </w:pPr>
    </w:p>
    <w:p w14:paraId="4AD2D231" w14:textId="77777777" w:rsidR="009B6582" w:rsidRDefault="009B6582" w:rsidP="001B214E">
      <w:pPr>
        <w:contextualSpacing/>
        <w:jc w:val="both"/>
      </w:pPr>
      <w:r w:rsidRPr="009B6582">
        <w:rPr>
          <w:b/>
          <w:bCs/>
        </w:rPr>
        <w:t>Sullo sfondo, le crescenti tensioni geopolitiche alimentano l’incertezza</w:t>
      </w:r>
      <w:r w:rsidRPr="009B6582">
        <w:t xml:space="preserve"> </w:t>
      </w:r>
      <w:r w:rsidRPr="009B6582">
        <w:rPr>
          <w:b/>
          <w:bCs/>
        </w:rPr>
        <w:t>sulle prospettive a breve termine</w:t>
      </w:r>
      <w:r w:rsidRPr="009B6582">
        <w:t xml:space="preserve"> e una minore fiducia nelle strategie di investimento e di consumo di imprese e famiglie. Lo scoppio del conflitto tra Israele e Hamas è al momento circoscritto a livello geografico, ma una sua eventuale estensione – sia diretta che indiretta – ad altre aree del Medio Oriente potrebbe avrebbe ripercussioni più ampie; le recenti tensioni nel Mar Rosso, innescate dagli attacchi dei miliziani yemeniti degli Houthi e dalla conseguente risposta militare a guida anglo-statunitense, evidenziano i rischi di potenziali effetti negativi sui traffici commerciali globali e di nuove pressioni sulle quotazioni delle materie prime, soprattutto quelle energetiche. In questo quadro si andrebbero inoltre ad approfondire ulteriormente le spaccature nelle relazioni geopolitiche tra i principali attori dello scacchiere mondiale, già esacerbate dal conflitto tra Russia e Ucraina in corso dal febbraio 2022. </w:t>
      </w:r>
    </w:p>
    <w:p w14:paraId="0380C17A" w14:textId="77777777" w:rsidR="001B214E" w:rsidRPr="009B6582" w:rsidRDefault="001B214E" w:rsidP="001B214E">
      <w:pPr>
        <w:contextualSpacing/>
        <w:jc w:val="both"/>
      </w:pPr>
    </w:p>
    <w:p w14:paraId="14D68010" w14:textId="77777777" w:rsidR="009B6582" w:rsidRDefault="009B6582" w:rsidP="001B214E">
      <w:pPr>
        <w:contextualSpacing/>
        <w:jc w:val="both"/>
      </w:pPr>
      <w:r w:rsidRPr="009B6582">
        <w:rPr>
          <w:b/>
          <w:bCs/>
        </w:rPr>
        <w:t xml:space="preserve">Le crescenti restrizioni commerciali, le politiche economiche ripiegate sull’interesse nazionale più immediato e le riformulazioni nelle catene del valore globali rendono il business </w:t>
      </w:r>
      <w:proofErr w:type="spellStart"/>
      <w:r w:rsidRPr="009B6582">
        <w:rPr>
          <w:b/>
          <w:bCs/>
        </w:rPr>
        <w:t>climate</w:t>
      </w:r>
      <w:proofErr w:type="spellEnd"/>
      <w:r w:rsidRPr="009B6582">
        <w:rPr>
          <w:b/>
          <w:bCs/>
        </w:rPr>
        <w:t xml:space="preserve"> internazionale meno stabile</w:t>
      </w:r>
      <w:r w:rsidRPr="009B6582">
        <w:t xml:space="preserve">. Questi fattori possono altresì esercitare un freno per la crescita del commercio globale, elemento critico data la sua importanza per la produttività e lo sviluppo economico di tutti i Paesi, siano essi avanzati, emergenti o in via di sviluppo. </w:t>
      </w:r>
    </w:p>
    <w:p w14:paraId="5D6B2E76" w14:textId="77777777" w:rsidR="001B214E" w:rsidRPr="009B6582" w:rsidRDefault="001B214E" w:rsidP="001B214E">
      <w:pPr>
        <w:contextualSpacing/>
        <w:jc w:val="both"/>
      </w:pPr>
    </w:p>
    <w:p w14:paraId="03FBACA0" w14:textId="77777777" w:rsidR="009B6582" w:rsidRDefault="009B6582" w:rsidP="001B214E">
      <w:pPr>
        <w:contextualSpacing/>
        <w:jc w:val="both"/>
      </w:pPr>
      <w:r w:rsidRPr="009B6582">
        <w:rPr>
          <w:b/>
          <w:bCs/>
        </w:rPr>
        <w:t>È stimata infatti in negativo la crescita del commercio internazionale di beni nel 2023 a -1,3% in volume</w:t>
      </w:r>
      <w:r w:rsidRPr="009B6582">
        <w:t xml:space="preserve">, risultato in particolare di cali tendenziali maggiori registrati dal terzo trimestre dell’anno. L’inasprimento delle </w:t>
      </w:r>
      <w:r w:rsidRPr="009B6582">
        <w:lastRenderedPageBreak/>
        <w:t xml:space="preserve">condizioni creditizie e il persistere dell’inflazione si sono riflessi in una riduzione degli investimenti delle imprese e dei consumi delle famiglie, sulle cui scelte ha pesato anche il clima di elevata incertezza. </w:t>
      </w:r>
    </w:p>
    <w:p w14:paraId="491F3C57" w14:textId="77777777" w:rsidR="001B214E" w:rsidRPr="009B6582" w:rsidRDefault="001B214E" w:rsidP="001B214E">
      <w:pPr>
        <w:contextualSpacing/>
        <w:jc w:val="both"/>
      </w:pPr>
    </w:p>
    <w:p w14:paraId="691A1C30" w14:textId="77777777" w:rsidR="009B6582" w:rsidRDefault="009B6582" w:rsidP="001B214E">
      <w:pPr>
        <w:contextualSpacing/>
        <w:jc w:val="both"/>
      </w:pPr>
      <w:r w:rsidRPr="009B6582">
        <w:rPr>
          <w:b/>
          <w:bCs/>
        </w:rPr>
        <w:t>Le previsioni puntano per il 2024 su una ripresa degli scambi mondiali di beni, con una crescita prevista attorno al 1,7% in volume.</w:t>
      </w:r>
      <w:r w:rsidRPr="009B6582">
        <w:t xml:space="preserve"> La dinamica sarà favorita dall’attesa progressiva normalizzazione delle condizioni economico-finanziarie internazionali, con un relativo allentamento dell’inflazione e politiche monetarie più accomodanti rispetto alle azioni fortemente restrittive operate sui tassi nell’ultimo anno e mezzo, con ricadute positive su investimenti delle imprese e consumi delle famiglie. Tuttavia, non si possono escludere eventuali rischi al ribasso legati a nuove criticità lungo le condizioni di offerta globali, dopo essersi attenuate fortemente, per effetto delle tensioni sul Canale di Suez. </w:t>
      </w:r>
    </w:p>
    <w:p w14:paraId="0870F56F" w14:textId="77777777" w:rsidR="001B214E" w:rsidRPr="009B6582" w:rsidRDefault="001B214E" w:rsidP="001B214E">
      <w:pPr>
        <w:contextualSpacing/>
        <w:jc w:val="both"/>
      </w:pPr>
    </w:p>
    <w:p w14:paraId="29B841C5" w14:textId="77777777" w:rsidR="009B6582" w:rsidRDefault="009B6582" w:rsidP="001B214E">
      <w:pPr>
        <w:contextualSpacing/>
        <w:jc w:val="both"/>
      </w:pPr>
      <w:r w:rsidRPr="009B6582">
        <w:rPr>
          <w:b/>
          <w:bCs/>
        </w:rPr>
        <w:t>Notizie più positive dal punto di vista del commercio internazionale di servizi</w:t>
      </w:r>
      <w:r w:rsidRPr="009B6582">
        <w:t xml:space="preserve">: </w:t>
      </w:r>
      <w:r w:rsidRPr="009B6582">
        <w:rPr>
          <w:b/>
          <w:bCs/>
        </w:rPr>
        <w:t>la crescita è prevista quest’anno al +4,4% in volume,</w:t>
      </w:r>
      <w:r w:rsidRPr="009B6582">
        <w:t xml:space="preserve"> sulla scia di una progressiva e solida ripresa del settore turistico internazionale e complice anche il ruolo di un relativo spostamento delle preferenze dei consumatori, una conferma dopo la già ottima chiusura, oltre il +11%, segnata nel 2023.</w:t>
      </w:r>
    </w:p>
    <w:p w14:paraId="20B50021" w14:textId="77777777" w:rsidR="001B214E" w:rsidRPr="009B6582" w:rsidRDefault="001B214E" w:rsidP="001B214E">
      <w:pPr>
        <w:contextualSpacing/>
        <w:jc w:val="both"/>
      </w:pPr>
    </w:p>
    <w:p w14:paraId="1CBFDE5D" w14:textId="77777777" w:rsidR="009B6582" w:rsidRDefault="009B6582" w:rsidP="001B214E">
      <w:pPr>
        <w:pStyle w:val="NormaleWeb"/>
        <w:spacing w:before="0" w:beforeAutospacing="0" w:after="0" w:afterAutospacing="0" w:line="259" w:lineRule="auto"/>
        <w:contextualSpacing/>
        <w:jc w:val="both"/>
        <w:rPr>
          <w:rFonts w:ascii="Calibri" w:hAnsi="Calibri" w:cs="Calibri"/>
          <w:sz w:val="22"/>
          <w:szCs w:val="22"/>
        </w:rPr>
      </w:pPr>
      <w:r w:rsidRPr="009B6582">
        <w:rPr>
          <w:rFonts w:ascii="Calibri" w:hAnsi="Calibri" w:cs="Calibri"/>
          <w:b/>
          <w:bCs/>
          <w:sz w:val="22"/>
          <w:szCs w:val="22"/>
        </w:rPr>
        <w:t xml:space="preserve">È in questo contesto che continua a delinearsi una marcata divergenza tra le dinamiche di crescita delle principali economie, </w:t>
      </w:r>
      <w:r w:rsidRPr="009B6582">
        <w:rPr>
          <w:rFonts w:ascii="Calibri" w:hAnsi="Calibri" w:cs="Calibri"/>
          <w:sz w:val="22"/>
          <w:szCs w:val="22"/>
        </w:rPr>
        <w:t>con performance generalmente migliori nei Paesi emergenti (con una crescita del Pil pari a +4,2% nel 2023 e +3,6% nel 2024) rispetto agli avanzati (+1,6% e +1,3%). In particolare, l’economia degli Stati Uniti è prevista rallentare al +2%, dopo aver segnato un +2,5% nel 2023 grazie alla progressiva implementazione dell’IRA e degli altri piani di stimolo pubblico, mentre in Canada il Pil è atteso in negativo (-0,6%, a seguire l’incremento dello 1% nell’anno appena concluso) con il pieno dispiegarsi degli effetti della recente stretta monetaria. Scongiurata la recessione nel 2023 con una crescita stimata attorno allo 0,5%,</w:t>
      </w:r>
      <w:r w:rsidRPr="009B6582">
        <w:rPr>
          <w:rFonts w:ascii="Calibri" w:hAnsi="Calibri" w:cs="Calibri"/>
          <w:color w:val="FF0000"/>
          <w:sz w:val="22"/>
          <w:szCs w:val="22"/>
        </w:rPr>
        <w:t xml:space="preserve"> </w:t>
      </w:r>
      <w:r w:rsidRPr="009B6582">
        <w:rPr>
          <w:rFonts w:ascii="Calibri" w:hAnsi="Calibri" w:cs="Calibri"/>
          <w:sz w:val="22"/>
          <w:szCs w:val="22"/>
        </w:rPr>
        <w:t>il Pil dell’Eurozona è previsto quest’anno attestarsi ad un modesto +0,6%, con Germania attesa ancora in lieve contrazione (-0,1% nel 2024) e Francia e Italia in crescita, rispettivamente, pari a +0,6% e a +0,5%; più positive le aspettative per la Spagna (+1,4%). In questi Paesi, l’implementazione dei piani di investimento nazionali stabiliti nell’ambito del Next Generation EU potranno comunque contribuire ad una traiettoria di ripresa più solida. Simili dinamiche e ordini di grandezze per le performance sono attese per il Regno Unito (+0,6%, dopo il +0,3% stimato nel 2023) e il Giappone (+0,7%, dopo una robusta chiusura nel 2023 attorno al +2%).</w:t>
      </w:r>
    </w:p>
    <w:p w14:paraId="6005822D" w14:textId="77777777" w:rsidR="001B214E" w:rsidRPr="009B6582" w:rsidRDefault="001B214E" w:rsidP="001B214E">
      <w:pPr>
        <w:pStyle w:val="NormaleWeb"/>
        <w:spacing w:before="0" w:beforeAutospacing="0" w:after="0" w:afterAutospacing="0" w:line="259" w:lineRule="auto"/>
        <w:contextualSpacing/>
        <w:jc w:val="both"/>
        <w:rPr>
          <w:rFonts w:ascii="Calibri" w:hAnsi="Calibri" w:cs="Calibri"/>
          <w:color w:val="FF0000"/>
          <w:sz w:val="22"/>
          <w:szCs w:val="22"/>
        </w:rPr>
      </w:pPr>
    </w:p>
    <w:p w14:paraId="07C24751" w14:textId="77777777" w:rsidR="009B6582" w:rsidRPr="009B6582" w:rsidRDefault="009B6582" w:rsidP="001B214E">
      <w:pPr>
        <w:pStyle w:val="NormaleWeb"/>
        <w:spacing w:before="0" w:beforeAutospacing="0" w:after="0" w:afterAutospacing="0" w:line="259" w:lineRule="auto"/>
        <w:contextualSpacing/>
        <w:jc w:val="both"/>
        <w:rPr>
          <w:rFonts w:asciiTheme="minorHAnsi" w:hAnsiTheme="minorHAnsi" w:cstheme="minorHAnsi"/>
          <w:color w:val="FF0000"/>
          <w:sz w:val="22"/>
          <w:szCs w:val="22"/>
        </w:rPr>
      </w:pPr>
      <w:r w:rsidRPr="009B6582">
        <w:rPr>
          <w:rFonts w:ascii="Calibri" w:hAnsi="Calibri" w:cs="Calibri"/>
          <w:sz w:val="22"/>
          <w:szCs w:val="22"/>
        </w:rPr>
        <w:t xml:space="preserve">Tra le </w:t>
      </w:r>
      <w:r w:rsidRPr="009B6582">
        <w:rPr>
          <w:rFonts w:ascii="Calibri" w:hAnsi="Calibri" w:cs="Calibri"/>
          <w:b/>
          <w:bCs/>
          <w:sz w:val="22"/>
          <w:szCs w:val="22"/>
        </w:rPr>
        <w:t>economie emergenti</w:t>
      </w:r>
      <w:r w:rsidRPr="009B6582">
        <w:rPr>
          <w:rFonts w:ascii="Calibri" w:hAnsi="Calibri" w:cs="Calibri"/>
          <w:sz w:val="22"/>
          <w:szCs w:val="22"/>
        </w:rPr>
        <w:t xml:space="preserve"> – dove si riscontra una maggiore eterogeneità – l’andamento positivo del Pil cinese (+4,4% quest’anno, dopo il +5,2% del 2023) potrà fungere da volàno anche per altri paesi della regione (specie Singapore, Filippine, Thailandia e Vietnam), sebbene su Pechino permangano elevati rischi collegati alla continua debolezza dei mercati immobiliari e all’aumento dei prestiti in sofferenza. Ancora migliore la performance registrata dall’India, tra i Paesi a più rapida crescita (+7,0% nel 2023 e +5,7% quest’anno) che la porteranno dalla quinta alla terza posizione tra le economie mondiali nel 2027. La crescita dovrebbe continuare a essere moderata per i Paesi dell’Est Europa, più immediatamente esposti al conflitto tra Russia e Ucraina, mentre la Turchia (+1% nel 2024) evidenzia in positivo un ritorno sulla via delle politiche economiche ortodosse, con un diretto e immediato effetto positivo sul market sentiment. Alcuni Paesi del Golfo (come Emirati Arabi Uniti, Arabia Saudita e Qatar) e dell’America Latina (tra cui Messico e Brasile) mostrano indicatori macroeconomici incoraggianti e si confermano mercati di opportunità per le nostre imprese. Dopo un triennio eccezionalmente difficile, anche in Africa Subsahariana è possibile registrare un’accelerazione della crescita nelle principali economie, aprendo nuovi spazi di opportunità ad esempio in Sudafrica, economia più sviluppata e principale mercato per l’export italiano della regione, Senegal e Costa d’Avorio, tra le mete più promettenti e in rapida crescita dell’Africa occidentale, fino a Nigeria e Angola, con spazi da presidiare nell’ambito delle strategie nazionali di diversificazione produttiva.</w:t>
      </w:r>
    </w:p>
    <w:p w14:paraId="4336A460" w14:textId="77777777" w:rsidR="009B6582" w:rsidRDefault="009B6582" w:rsidP="001B214E">
      <w:pPr>
        <w:contextualSpacing/>
        <w:jc w:val="both"/>
      </w:pPr>
      <w:r w:rsidRPr="009B6582">
        <w:rPr>
          <w:b/>
          <w:bCs/>
        </w:rPr>
        <w:lastRenderedPageBreak/>
        <w:t>La flessione del commercio internazionale di beni in volume lo scorso anno ha influenzato negativamente anche la dinamica dell’export italiano</w:t>
      </w:r>
      <w:r w:rsidRPr="009B6582">
        <w:t xml:space="preserve">. L’atteso fisiologico rallentamento, dopo due anni di crescite a doppia cifra, si è rivelato più intenso del previsto: nei primi undici mesi dell’anno le esportazioni italiane di beni in valore hanno registrato un aumento contenuto dello 0,7% rispetto allo stesso periodo del 2022. A pesare è stato il calo della componente in volume – particolarmente marcato per i beni intermedi e di consumo – mentre sorprende in positivo la dinamica dei beni di investimento. </w:t>
      </w:r>
    </w:p>
    <w:p w14:paraId="4CB910FD" w14:textId="77777777" w:rsidR="001B214E" w:rsidRPr="009B6582" w:rsidRDefault="001B214E" w:rsidP="001B214E">
      <w:pPr>
        <w:contextualSpacing/>
        <w:jc w:val="both"/>
      </w:pPr>
    </w:p>
    <w:p w14:paraId="6FCFF7AE" w14:textId="3A0FBE13" w:rsidR="00D9073C" w:rsidRDefault="009B6582" w:rsidP="001B214E">
      <w:pPr>
        <w:contextualSpacing/>
        <w:jc w:val="both"/>
      </w:pPr>
      <w:r w:rsidRPr="009B6582">
        <w:rPr>
          <w:b/>
          <w:bCs/>
        </w:rPr>
        <w:t>In termini di geografie di sbocco, a mostrare la debolezza maggiore è la domanda di beni italiani proveniente dai Paesi Ue</w:t>
      </w:r>
      <w:r w:rsidRPr="009B6582">
        <w:t xml:space="preserve">, in calo dell’1,8% tra gennaio e novembre 2023. Ciò è un riflesso soprattutto del rallentamento dell’economia tedesca che, come già rappresentato sopra, continua ad affrontare una fase di criticità dettata da fattori congiunturali – come i costi dell’energia a cui è soggetta un’industria particolarmente energivora e la debole performance della Cina, importante mercato di sbocco delle merci tedesche – e, in parte, da cambiamenti strutturali del sistema produttivo, che vede un forte legame di domanda con quello italiano. </w:t>
      </w:r>
    </w:p>
    <w:p w14:paraId="0060993E" w14:textId="4DE38EAE" w:rsidR="005A4459" w:rsidRDefault="009B6582" w:rsidP="001B214E">
      <w:pPr>
        <w:contextualSpacing/>
        <w:jc w:val="both"/>
      </w:pPr>
      <w:r w:rsidRPr="009B6582">
        <w:t xml:space="preserve">Analogamente, anche le importazioni di beni stanno sperimentando un rallentamento e tra gennaio e novembre 2023 segnano addirittura una contrazione vicina alla doppia cifra (-9,8% in valore). </w:t>
      </w:r>
    </w:p>
    <w:p w14:paraId="6162CEA6" w14:textId="77777777" w:rsidR="00D9073C" w:rsidRDefault="00D9073C" w:rsidP="001B214E">
      <w:pPr>
        <w:contextualSpacing/>
        <w:jc w:val="both"/>
      </w:pPr>
    </w:p>
    <w:p w14:paraId="06F633CF" w14:textId="77777777" w:rsidR="009B6582" w:rsidRDefault="009B6582" w:rsidP="001B214E">
      <w:pPr>
        <w:contextualSpacing/>
        <w:jc w:val="both"/>
      </w:pPr>
      <w:r w:rsidRPr="009B6582">
        <w:t xml:space="preserve">In uno scenario di normalizzazione delle condizioni economico-finanziarie internazionali, l’auspicato ritorno alla crescita delle esportazioni in valore sarà alla base della performance di quest’anno, per cui </w:t>
      </w:r>
      <w:r w:rsidRPr="009B6582">
        <w:rPr>
          <w:b/>
          <w:bCs/>
        </w:rPr>
        <w:t>si prevede un incremento dell’export di beni superiore al 4%</w:t>
      </w:r>
      <w:r w:rsidRPr="009B6582">
        <w:t>.</w:t>
      </w:r>
    </w:p>
    <w:p w14:paraId="5C6B980E" w14:textId="77777777" w:rsidR="001B214E" w:rsidRPr="009B6582" w:rsidRDefault="001B214E" w:rsidP="001B214E">
      <w:pPr>
        <w:contextualSpacing/>
        <w:jc w:val="both"/>
      </w:pPr>
    </w:p>
    <w:p w14:paraId="4A977CD8" w14:textId="61736A42" w:rsidR="001B214E" w:rsidRDefault="009B6582" w:rsidP="001B214E">
      <w:pPr>
        <w:contextualSpacing/>
        <w:jc w:val="both"/>
        <w:rPr>
          <w:bCs/>
        </w:rPr>
      </w:pPr>
      <w:r w:rsidRPr="009B6582">
        <w:rPr>
          <w:b/>
        </w:rPr>
        <w:t>Il Veneto si conferma la terza regione italiana per esportazioni</w:t>
      </w:r>
      <w:r w:rsidRPr="009B6582">
        <w:rPr>
          <w:bCs/>
        </w:rPr>
        <w:t xml:space="preserve"> </w:t>
      </w:r>
      <w:r w:rsidRPr="009B6582">
        <w:rPr>
          <w:b/>
        </w:rPr>
        <w:t>di beni</w:t>
      </w:r>
      <w:r w:rsidRPr="009B6582">
        <w:rPr>
          <w:bCs/>
        </w:rPr>
        <w:t xml:space="preserve"> – dopo Lombardia ed Emilia-Romagna – avendo esportato circa il 13% di tutti i beni italiani venduti oltreconfine. In alcuni settori e comparti, la regione ha un’incidenza ancora maggiore sulle vendite oltreconfine italiane: all’interno dell’altra manifattura, quasi il 60% di tutti gli strumenti e forniture mediche e dentistiche esportati dall’Italia proviene dal Veneto e oltre un quarto di tutti i mobili e della gioielleria e bigiotteria è di origine veneta (Fig. 1). </w:t>
      </w:r>
    </w:p>
    <w:p w14:paraId="580E906E" w14:textId="77777777" w:rsidR="00D9073C" w:rsidRPr="009B6582" w:rsidRDefault="00D9073C" w:rsidP="001B214E">
      <w:pPr>
        <w:contextualSpacing/>
        <w:jc w:val="both"/>
        <w:rPr>
          <w:bCs/>
        </w:rPr>
      </w:pPr>
    </w:p>
    <w:p w14:paraId="3D08FBA5" w14:textId="77777777" w:rsidR="009B6582" w:rsidRDefault="009B6582" w:rsidP="009B6582">
      <w:pPr>
        <w:jc w:val="center"/>
        <w:rPr>
          <w:b/>
          <w:color w:val="000000" w:themeColor="text1"/>
        </w:rPr>
      </w:pPr>
      <w:r>
        <w:rPr>
          <w:b/>
          <w:color w:val="000000" w:themeColor="text1"/>
        </w:rPr>
        <w:t>Fig. 1</w:t>
      </w:r>
      <w:r w:rsidRPr="002E0A35">
        <w:rPr>
          <w:b/>
          <w:color w:val="000000" w:themeColor="text1"/>
        </w:rPr>
        <w:t xml:space="preserve">. </w:t>
      </w:r>
      <w:r>
        <w:rPr>
          <w:b/>
          <w:color w:val="000000" w:themeColor="text1"/>
        </w:rPr>
        <w:t>Incidenza dell’export veneto su quello italiano</w:t>
      </w:r>
      <w:r w:rsidRPr="002E0A35">
        <w:rPr>
          <w:b/>
          <w:color w:val="000000" w:themeColor="text1"/>
        </w:rPr>
        <w:t>, per settore</w:t>
      </w:r>
      <w:r>
        <w:rPr>
          <w:b/>
          <w:color w:val="000000" w:themeColor="text1"/>
        </w:rPr>
        <w:t xml:space="preserve"> di merci</w:t>
      </w:r>
    </w:p>
    <w:p w14:paraId="1CAAB6CB" w14:textId="77777777" w:rsidR="009B6582" w:rsidRDefault="009B6582" w:rsidP="009B6582">
      <w:pPr>
        <w:jc w:val="center"/>
        <w:rPr>
          <w:bCs/>
          <w:color w:val="000000" w:themeColor="text1"/>
        </w:rPr>
      </w:pPr>
      <w:r>
        <w:rPr>
          <w:bCs/>
          <w:color w:val="000000" w:themeColor="text1"/>
        </w:rPr>
        <w:t xml:space="preserve">(peso % 2022) </w:t>
      </w:r>
    </w:p>
    <w:p w14:paraId="5C335905" w14:textId="77777777" w:rsidR="009B6582" w:rsidRDefault="009B6582" w:rsidP="009B6582">
      <w:pPr>
        <w:spacing w:after="160"/>
        <w:jc w:val="center"/>
        <w:rPr>
          <w:bCs/>
        </w:rPr>
      </w:pPr>
      <w:r>
        <w:rPr>
          <w:noProof/>
        </w:rPr>
        <w:drawing>
          <wp:inline distT="0" distB="0" distL="0" distR="0" wp14:anchorId="2E6E25BD" wp14:editId="1D952A65">
            <wp:extent cx="4328160" cy="2705100"/>
            <wp:effectExtent l="0" t="0" r="0" b="0"/>
            <wp:docPr id="1280071769" name="Grafico 1">
              <a:extLst xmlns:a="http://schemas.openxmlformats.org/drawingml/2006/main">
                <a:ext uri="{FF2B5EF4-FFF2-40B4-BE49-F238E27FC236}">
                  <a16:creationId xmlns:a16="http://schemas.microsoft.com/office/drawing/2014/main" id="{D9BD2C77-F94F-558F-CB3C-689A2A6F5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AF9D5B" w14:textId="77777777" w:rsidR="00D9073C" w:rsidRPr="00233925" w:rsidRDefault="009B6582" w:rsidP="00D9073C">
      <w:pPr>
        <w:rPr>
          <w:sz w:val="18"/>
          <w:szCs w:val="18"/>
        </w:rPr>
      </w:pPr>
      <w:r w:rsidRPr="00233925">
        <w:rPr>
          <w:sz w:val="18"/>
          <w:szCs w:val="18"/>
        </w:rPr>
        <w:t>Fonte: Elaborazioni SACE su dati Istat.</w:t>
      </w:r>
    </w:p>
    <w:p w14:paraId="3877256D" w14:textId="7E881DDC" w:rsidR="00D9073C" w:rsidRPr="00233925" w:rsidRDefault="00233925" w:rsidP="00233925">
      <w:pPr>
        <w:rPr>
          <w:sz w:val="18"/>
          <w:szCs w:val="18"/>
        </w:rPr>
      </w:pPr>
      <w:r w:rsidRPr="00233925">
        <w:rPr>
          <w:sz w:val="18"/>
          <w:szCs w:val="18"/>
        </w:rPr>
        <w:t>Note: “Altra manifattura” è composta principalmente da Strumenti e forniture mediche e dentistiche (43,5% del settore), Mobili (27,7%), Gioielleria, bigiotteria e pietre preziose (22,4%), Articoli sportivi (3,8%).</w:t>
      </w:r>
    </w:p>
    <w:p w14:paraId="149530F1" w14:textId="65D85D10" w:rsidR="009B6582" w:rsidRDefault="009B6582" w:rsidP="00D9073C">
      <w:pPr>
        <w:jc w:val="both"/>
        <w:rPr>
          <w:bCs/>
        </w:rPr>
      </w:pPr>
      <w:r w:rsidRPr="003419E6">
        <w:rPr>
          <w:b/>
        </w:rPr>
        <w:lastRenderedPageBreak/>
        <w:t>Anche per l’export di questa regione il 2022 è stato un anno di crescita a doppia cifra</w:t>
      </w:r>
      <w:r>
        <w:rPr>
          <w:b/>
        </w:rPr>
        <w:t>,</w:t>
      </w:r>
      <w:r>
        <w:rPr>
          <w:bCs/>
        </w:rPr>
        <w:t xml:space="preserve"> sulla spinta dei rialzi di prezzo che hanno interessato soprattutto i beni intermedi. Tale dinamica ha permesso alle esportazioni venete di beni di raggiungere 82 miliardi di euro. Il fenomeno ha interessato anche le importazioni di beni, cresciute nello stesso anno del 33,4%, ascrivibile in particolare ai prodotti estrattivi (+265%).</w:t>
      </w:r>
      <w:r w:rsidRPr="00D27415">
        <w:rPr>
          <w:bCs/>
        </w:rPr>
        <w:t xml:space="preserve"> </w:t>
      </w:r>
      <w:r>
        <w:rPr>
          <w:bCs/>
        </w:rPr>
        <w:t>Il rallentamento sperimentato dall’interscambio italiano lo scorso anno si riscontra anche in quello veneto: l’export della regione segna +0,7% nei primi nove mesi del 2023, mentre l’import è in territorio negativo (-9,8%).</w:t>
      </w:r>
    </w:p>
    <w:p w14:paraId="6D48976E" w14:textId="77777777" w:rsidR="001B214E" w:rsidRDefault="001B214E" w:rsidP="00D9073C">
      <w:pPr>
        <w:jc w:val="both"/>
        <w:rPr>
          <w:bCs/>
        </w:rPr>
      </w:pPr>
    </w:p>
    <w:p w14:paraId="3A835722" w14:textId="77777777" w:rsidR="009B6582" w:rsidRDefault="009B6582" w:rsidP="00D9073C">
      <w:pPr>
        <w:jc w:val="both"/>
        <w:rPr>
          <w:bCs/>
        </w:rPr>
      </w:pPr>
      <w:r w:rsidRPr="003419E6">
        <w:rPr>
          <w:b/>
        </w:rPr>
        <w:t>A livello settoriale nel 2022 la crescita è stata diffusa, con gli incrementi più marcati registrati dai beni intermedi</w:t>
      </w:r>
      <w:r>
        <w:rPr>
          <w:bCs/>
        </w:rPr>
        <w:t xml:space="preserve"> – ad esempio metalli (+21,3%) e legno, carta e stampa (+24,7%) – che sono riusciti a spostare più a valle i rincari di prezzo dei propri input produttivi (Fig. 2). Particolarmente forte – e superiore alla media italiana – la performance di meccanica strumentale (+14,3%) e altra manifattura (+16,9%), grazie al traino di strumenti e forniture mediche e gioielleria. </w:t>
      </w:r>
    </w:p>
    <w:p w14:paraId="276FD03E" w14:textId="77777777" w:rsidR="001B214E" w:rsidRDefault="001B214E" w:rsidP="00D9073C">
      <w:pPr>
        <w:jc w:val="both"/>
        <w:rPr>
          <w:bCs/>
        </w:rPr>
      </w:pPr>
    </w:p>
    <w:p w14:paraId="5BB27510" w14:textId="77777777" w:rsidR="009B6582" w:rsidRDefault="009B6582" w:rsidP="00D9073C">
      <w:pPr>
        <w:jc w:val="both"/>
        <w:rPr>
          <w:bCs/>
        </w:rPr>
      </w:pPr>
      <w:r w:rsidRPr="006F3C42">
        <w:rPr>
          <w:b/>
        </w:rPr>
        <w:t>Gli andamenti dello scorso anno sono invece stati polarizzati</w:t>
      </w:r>
      <w:r>
        <w:rPr>
          <w:bCs/>
        </w:rPr>
        <w:t>: alcuni settori hanno registrato buone performance, mentre altri hanno segnato delle contrazioni. Al primo gruppo appartengono meccanica strumentale (+11% gen-set’23 vs. gen-set’22), alimentari e bevande (+5,8%), apparecchi elettrici (+2,8%) e altra manifattura (+2,5%); il secondo vede invece in prima linea i beni intermedi – legno carta e stampa (-20,8%), prodotti chimici (-11,7%), prodotti in metallo (-8,6%) e gomma e plastica (-6,5%) – ma anche mezzi di trasporto (-2,2%) e tessile e abbigliamento (-1,7%).</w:t>
      </w:r>
    </w:p>
    <w:p w14:paraId="244256D2" w14:textId="77777777" w:rsidR="001B214E" w:rsidRDefault="001B214E" w:rsidP="001B214E">
      <w:pPr>
        <w:jc w:val="both"/>
        <w:rPr>
          <w:bCs/>
        </w:rPr>
      </w:pPr>
    </w:p>
    <w:p w14:paraId="6841CC1D" w14:textId="77777777" w:rsidR="009B6582" w:rsidRDefault="009B6582" w:rsidP="009B6582">
      <w:pPr>
        <w:jc w:val="center"/>
        <w:rPr>
          <w:bCs/>
          <w:color w:val="000000" w:themeColor="text1"/>
        </w:rPr>
      </w:pPr>
      <w:r>
        <w:rPr>
          <w:b/>
          <w:color w:val="000000" w:themeColor="text1"/>
        </w:rPr>
        <w:t>Fig. 2</w:t>
      </w:r>
      <w:r w:rsidRPr="002E0A35">
        <w:rPr>
          <w:b/>
          <w:color w:val="000000" w:themeColor="text1"/>
        </w:rPr>
        <w:t xml:space="preserve">. </w:t>
      </w:r>
      <w:r>
        <w:rPr>
          <w:b/>
          <w:color w:val="000000" w:themeColor="text1"/>
        </w:rPr>
        <w:t>E</w:t>
      </w:r>
      <w:r w:rsidRPr="002E0A35">
        <w:rPr>
          <w:b/>
          <w:color w:val="000000" w:themeColor="text1"/>
        </w:rPr>
        <w:t>sportazioni di beni del Veneto, per settore</w:t>
      </w:r>
      <w:r>
        <w:rPr>
          <w:bCs/>
          <w:color w:val="000000" w:themeColor="text1"/>
        </w:rPr>
        <w:t xml:space="preserve"> </w:t>
      </w:r>
    </w:p>
    <w:p w14:paraId="3F40648E" w14:textId="77777777" w:rsidR="009B6582" w:rsidRDefault="009B6582" w:rsidP="009B6582">
      <w:pPr>
        <w:jc w:val="center"/>
        <w:rPr>
          <w:bCs/>
          <w:color w:val="000000" w:themeColor="text1"/>
        </w:rPr>
      </w:pPr>
      <w:r>
        <w:rPr>
          <w:bCs/>
          <w:color w:val="000000" w:themeColor="text1"/>
        </w:rPr>
        <w:t>(€ mld e var. % annua; 2022)</w:t>
      </w:r>
    </w:p>
    <w:p w14:paraId="245E6445" w14:textId="77777777" w:rsidR="009B6582" w:rsidRPr="00EE7B27" w:rsidRDefault="009B6582" w:rsidP="009B6582">
      <w:pPr>
        <w:jc w:val="center"/>
        <w:rPr>
          <w:bCs/>
          <w:color w:val="000000" w:themeColor="text1"/>
        </w:rPr>
      </w:pPr>
      <w:r w:rsidRPr="00A24233">
        <w:rPr>
          <w:noProof/>
          <w:sz w:val="36"/>
          <w:szCs w:val="36"/>
        </w:rPr>
        <mc:AlternateContent>
          <mc:Choice Requires="cx1">
            <w:drawing>
              <wp:inline distT="0" distB="0" distL="0" distR="0" wp14:anchorId="71D15E10" wp14:editId="08128919">
                <wp:extent cx="5250180" cy="3596640"/>
                <wp:effectExtent l="0" t="0" r="7620" b="3810"/>
                <wp:docPr id="2061557708" name="Grafico 1">
                  <a:extLst xmlns:a="http://schemas.openxmlformats.org/drawingml/2006/main">
                    <a:ext uri="{FF2B5EF4-FFF2-40B4-BE49-F238E27FC236}">
                      <a16:creationId xmlns:a16="http://schemas.microsoft.com/office/drawing/2014/main" id="{D5FE65B2-7E4E-C838-9983-FB6E5A10845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1D15E10" wp14:editId="08128919">
                <wp:extent cx="5250180" cy="3596640"/>
                <wp:effectExtent l="0" t="0" r="7620" b="3810"/>
                <wp:docPr id="2061557708" name="Grafico 1">
                  <a:extLst xmlns:a="http://schemas.openxmlformats.org/drawingml/2006/main">
                    <a:ext uri="{FF2B5EF4-FFF2-40B4-BE49-F238E27FC236}">
                      <a16:creationId xmlns:a16="http://schemas.microsoft.com/office/drawing/2014/main" id="{D5FE65B2-7E4E-C838-9983-FB6E5A10845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1557708" name="Grafico 1">
                          <a:extLst>
                            <a:ext uri="{FF2B5EF4-FFF2-40B4-BE49-F238E27FC236}">
                              <a16:creationId xmlns:a16="http://schemas.microsoft.com/office/drawing/2014/main" id="{D5FE65B2-7E4E-C838-9983-FB6E5A108459}"/>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5250180" cy="3596640"/>
                        </a:xfrm>
                        <a:prstGeom prst="rect">
                          <a:avLst/>
                        </a:prstGeom>
                      </pic:spPr>
                    </pic:pic>
                  </a:graphicData>
                </a:graphic>
              </wp:inline>
            </w:drawing>
          </mc:Fallback>
        </mc:AlternateContent>
      </w:r>
    </w:p>
    <w:p w14:paraId="543965E2" w14:textId="77777777" w:rsidR="009B6582" w:rsidRPr="00555047" w:rsidRDefault="009B6582" w:rsidP="009B6582">
      <w:pPr>
        <w:rPr>
          <w:sz w:val="18"/>
          <w:szCs w:val="18"/>
        </w:rPr>
      </w:pPr>
      <w:r w:rsidRPr="00555047">
        <w:rPr>
          <w:sz w:val="18"/>
          <w:szCs w:val="18"/>
        </w:rPr>
        <w:t>Fonte: Istat.</w:t>
      </w:r>
    </w:p>
    <w:p w14:paraId="39067F7F" w14:textId="14E3824B" w:rsidR="009B6582" w:rsidRPr="00555047" w:rsidRDefault="009B6582" w:rsidP="009B6582">
      <w:pPr>
        <w:spacing w:after="120"/>
        <w:rPr>
          <w:sz w:val="18"/>
          <w:szCs w:val="18"/>
        </w:rPr>
      </w:pPr>
      <w:r w:rsidRPr="00555047">
        <w:rPr>
          <w:sz w:val="18"/>
          <w:szCs w:val="18"/>
        </w:rPr>
        <w:t>Note: La voce “Altro” comprende Altri settori esportativi, Prodotti agricoli, Farmaceutica, Raffinati ed Estrattiva.</w:t>
      </w:r>
    </w:p>
    <w:p w14:paraId="55246CAD" w14:textId="77777777" w:rsidR="005A4459" w:rsidRDefault="005A4459" w:rsidP="005A4459">
      <w:pPr>
        <w:jc w:val="both"/>
        <w:rPr>
          <w:b/>
        </w:rPr>
      </w:pPr>
    </w:p>
    <w:p w14:paraId="3D6FF592" w14:textId="77777777" w:rsidR="00555047" w:rsidRDefault="00555047" w:rsidP="005A4459">
      <w:pPr>
        <w:jc w:val="both"/>
        <w:rPr>
          <w:b/>
        </w:rPr>
      </w:pPr>
    </w:p>
    <w:p w14:paraId="14D12734" w14:textId="01D0AC55" w:rsidR="001B214E" w:rsidRPr="001B214E" w:rsidRDefault="009B6582" w:rsidP="005A4459">
      <w:pPr>
        <w:jc w:val="both"/>
        <w:rPr>
          <w:bCs/>
        </w:rPr>
      </w:pPr>
      <w:r w:rsidRPr="003419E6">
        <w:rPr>
          <w:b/>
        </w:rPr>
        <w:lastRenderedPageBreak/>
        <w:t>In termini di mercati di sbocco, Germania, Francia e Stati Uniti si confermano i principali richiedenti di beni veneti</w:t>
      </w:r>
      <w:r>
        <w:rPr>
          <w:bCs/>
        </w:rPr>
        <w:t>, accogliendo insieme quasi il 35% di tutto l’export della regione (Fig. 3). Nel 2022 la crescita è stata diffusa a pressoché tutte le principali destinazioni, con picchi per Stati Uniti (+26%), Polonia (+19,3%) e Austria (+30,5%). La performance dello scorso anno è risultata invece più mista, con flessioni registrate in importanti geografie – ad esempio Stati Uniti (-4,1% gen-set’23 vs. gen-set’22), Regno Unito (-3,1%) e Austria (-10,8%) – e una buona tenuta in altre – tra tutte Francia (+5,9%), Spagna (+2,4%) e Repubblica Ceca (+4,6%).</w:t>
      </w:r>
    </w:p>
    <w:p w14:paraId="06CFD0FE" w14:textId="77777777" w:rsidR="005A4459" w:rsidRDefault="005A4459" w:rsidP="005A4459">
      <w:pPr>
        <w:jc w:val="center"/>
        <w:rPr>
          <w:b/>
        </w:rPr>
      </w:pPr>
    </w:p>
    <w:p w14:paraId="00F06031" w14:textId="3C28DDC0" w:rsidR="009B6582" w:rsidRDefault="009B6582" w:rsidP="005A4459">
      <w:pPr>
        <w:jc w:val="center"/>
        <w:rPr>
          <w:b/>
        </w:rPr>
      </w:pPr>
      <w:r w:rsidRPr="00873B6E">
        <w:rPr>
          <w:b/>
        </w:rPr>
        <w:t>F</w:t>
      </w:r>
      <w:r>
        <w:rPr>
          <w:b/>
        </w:rPr>
        <w:t>ig.</w:t>
      </w:r>
      <w:r w:rsidRPr="00873B6E">
        <w:rPr>
          <w:b/>
        </w:rPr>
        <w:t xml:space="preserve"> </w:t>
      </w:r>
      <w:r>
        <w:rPr>
          <w:b/>
        </w:rPr>
        <w:t>3.</w:t>
      </w:r>
      <w:r w:rsidRPr="00873B6E">
        <w:rPr>
          <w:b/>
        </w:rPr>
        <w:t xml:space="preserve"> Le principali destinazioni dell’export </w:t>
      </w:r>
      <w:r>
        <w:rPr>
          <w:b/>
        </w:rPr>
        <w:t>del Veneto</w:t>
      </w:r>
    </w:p>
    <w:p w14:paraId="20A6DD58" w14:textId="77777777" w:rsidR="009B6582" w:rsidRDefault="009B6582" w:rsidP="009B6582">
      <w:pPr>
        <w:jc w:val="center"/>
        <w:rPr>
          <w:bCs/>
          <w:color w:val="000000" w:themeColor="text1"/>
        </w:rPr>
      </w:pPr>
      <w:r w:rsidRPr="00DC14B1">
        <w:rPr>
          <w:bCs/>
          <w:color w:val="000000" w:themeColor="text1"/>
        </w:rPr>
        <w:t>(var. % annua e €</w:t>
      </w:r>
      <w:r>
        <w:rPr>
          <w:bCs/>
          <w:color w:val="000000" w:themeColor="text1"/>
        </w:rPr>
        <w:t xml:space="preserve"> mld; 2022)</w:t>
      </w:r>
    </w:p>
    <w:p w14:paraId="3C862C85" w14:textId="77777777" w:rsidR="009B6582" w:rsidRPr="006D731B" w:rsidRDefault="009B6582" w:rsidP="009B6582">
      <w:pPr>
        <w:jc w:val="center"/>
        <w:rPr>
          <w:bCs/>
          <w:color w:val="000000" w:themeColor="text1"/>
        </w:rPr>
      </w:pPr>
      <w:r>
        <w:rPr>
          <w:noProof/>
        </w:rPr>
        <w:drawing>
          <wp:inline distT="0" distB="0" distL="0" distR="0" wp14:anchorId="4A222C2B" wp14:editId="1C054E48">
            <wp:extent cx="5029201" cy="3859213"/>
            <wp:effectExtent l="0" t="0" r="0" b="8255"/>
            <wp:docPr id="1558021712" name="Grafico 1">
              <a:extLst xmlns:a="http://schemas.openxmlformats.org/drawingml/2006/main">
                <a:ext uri="{FF2B5EF4-FFF2-40B4-BE49-F238E27FC236}">
                  <a16:creationId xmlns:a16="http://schemas.microsoft.com/office/drawing/2014/main" id="{0BE758CD-19A8-6BE0-7166-E8CA8D46E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66CE76" w14:textId="77777777" w:rsidR="009B6582" w:rsidRDefault="009B6582" w:rsidP="009B6582">
      <w:pPr>
        <w:jc w:val="center"/>
        <w:rPr>
          <w:bCs/>
        </w:rPr>
      </w:pPr>
      <w:r w:rsidRPr="00343688">
        <w:rPr>
          <w:noProof/>
        </w:rPr>
        <w:t xml:space="preserve"> </w:t>
      </w:r>
    </w:p>
    <w:p w14:paraId="3D0B4275" w14:textId="77777777" w:rsidR="009B6582" w:rsidRPr="00555047" w:rsidRDefault="009B6582" w:rsidP="005A4459">
      <w:pPr>
        <w:spacing w:after="120"/>
        <w:rPr>
          <w:sz w:val="18"/>
          <w:szCs w:val="18"/>
        </w:rPr>
      </w:pPr>
      <w:r w:rsidRPr="00555047">
        <w:rPr>
          <w:sz w:val="18"/>
          <w:szCs w:val="18"/>
        </w:rPr>
        <w:t>Fonte: Elaborazioni SACE su dati Istat.</w:t>
      </w:r>
    </w:p>
    <w:p w14:paraId="1EC31FA7" w14:textId="77777777" w:rsidR="005A4459" w:rsidRPr="00AA2C78" w:rsidRDefault="005A4459" w:rsidP="005A4459">
      <w:pPr>
        <w:spacing w:after="120"/>
        <w:rPr>
          <w:sz w:val="20"/>
        </w:rPr>
      </w:pPr>
    </w:p>
    <w:p w14:paraId="7401682E" w14:textId="77777777" w:rsidR="009B6582" w:rsidRDefault="009B6582" w:rsidP="005A4459">
      <w:pPr>
        <w:spacing w:after="120"/>
        <w:jc w:val="both"/>
        <w:rPr>
          <w:bCs/>
        </w:rPr>
      </w:pPr>
      <w:r w:rsidRPr="003419E6">
        <w:rPr>
          <w:b/>
        </w:rPr>
        <w:t>Nonostante accolgano una piccola parte delle esportazioni venete, vi sono poi destinazioni ancora poco presidiate che però nell’ultimo biennio hanno mostrato grande dinamicità</w:t>
      </w:r>
      <w:r>
        <w:rPr>
          <w:bCs/>
        </w:rPr>
        <w:t xml:space="preserve">. È il caso, ad esempio, degli Emirati Arabi Uniti, che vedono una richiesta in ampia crescita di prodotti appartenenti al settore dell’altra manifattura – in primis gioielleria e bigiotteria e strumenti e forniture mediche e dentistiche – ma anche di articoli tessili e di abbigliamento. In Asia si evidenziano gli andamenti di India e Giappone, per Nuova Dehli la spinta è provenuta in particolare dalla meccanica strumentale mentre per Tokyo – dopo una crescita diffusa nel 2022 – a guidare lo scorso anno sono state l’altra manifattura e la gomma e plastica. In America Latina, Messico e Brasile segnano ottime performance, specie nei settori della meccanica strumentale e dell’altra manifattura. </w:t>
      </w:r>
    </w:p>
    <w:p w14:paraId="28BC927B" w14:textId="77777777" w:rsidR="001B214E" w:rsidRDefault="001B214E" w:rsidP="001B214E">
      <w:pPr>
        <w:jc w:val="both"/>
        <w:rPr>
          <w:bCs/>
        </w:rPr>
      </w:pPr>
    </w:p>
    <w:p w14:paraId="7506B035" w14:textId="77777777" w:rsidR="009B6582" w:rsidRDefault="009B6582" w:rsidP="001B214E">
      <w:pPr>
        <w:jc w:val="both"/>
        <w:rPr>
          <w:bCs/>
        </w:rPr>
      </w:pPr>
      <w:r w:rsidRPr="004641BF">
        <w:rPr>
          <w:b/>
        </w:rPr>
        <w:lastRenderedPageBreak/>
        <w:t>Le quattro province oggetto di questa indagine – Treviso, Padova, Venezia e Rovigo</w:t>
      </w:r>
      <w:r w:rsidRPr="004641BF">
        <w:rPr>
          <w:rStyle w:val="Rimandonotaapidipagina"/>
          <w:b/>
        </w:rPr>
        <w:footnoteReference w:id="2"/>
      </w:r>
      <w:r w:rsidRPr="004641BF">
        <w:rPr>
          <w:b/>
        </w:rPr>
        <w:t xml:space="preserve"> – hanno esportato 38,4 miliardi di euro nel 2022, pari a quasi la metà di tutti i beni venduti oltreconfine dal Veneto</w:t>
      </w:r>
      <w:r>
        <w:rPr>
          <w:bCs/>
        </w:rPr>
        <w:t>, segnando una performance leggermente migliore rispetto a quella della regione nel suo complesso (+17,4% vs. +16,1%). Fermo restando che tutte le province hanno registrato crescite significative nel 2022, tale risultato è stato raggiunto in particolare grazie all’incremento delle esportazioni veneziane (+34,8%) attribuibile agli ampi rialzi di mezzi di trasporto (+127,8%) e raffinati (+235,5%). Nei primi nove mesi dello scorso anno tre province su quattro hanno invece visto contrazioni, l’eccezione positiva è rappresentata da Padova (+5%) sulla spinta di meccanica strumentale (+11,5%), tessile e abbigliamento (+13,4%) e apparecchi elettrici (+15,8%).</w:t>
      </w:r>
    </w:p>
    <w:p w14:paraId="4EA19DE4" w14:textId="77777777" w:rsidR="001B214E" w:rsidRDefault="001B214E" w:rsidP="001B214E">
      <w:pPr>
        <w:jc w:val="both"/>
        <w:rPr>
          <w:bCs/>
        </w:rPr>
      </w:pPr>
    </w:p>
    <w:p w14:paraId="2FC98A1D" w14:textId="795A28C1" w:rsidR="00C310FC" w:rsidRDefault="009B6582" w:rsidP="001B214E">
      <w:pPr>
        <w:jc w:val="both"/>
      </w:pPr>
      <w:r w:rsidRPr="00A3105A">
        <w:rPr>
          <w:b/>
          <w:bCs/>
        </w:rPr>
        <w:t>In conclusione, in un anno ancora caratterizzato da incertezze e sfide, l’internazionalizzazione – nelle sue diverse forme – rimane un elemento imprescindibile di crescita</w:t>
      </w:r>
      <w:r>
        <w:t xml:space="preserve">. Questo è particolarmente vero </w:t>
      </w:r>
      <w:r w:rsidRPr="00F523DE">
        <w:t xml:space="preserve">per </w:t>
      </w:r>
      <w:r>
        <w:t xml:space="preserve">l’Italia, </w:t>
      </w:r>
      <w:r w:rsidRPr="00F523DE">
        <w:t xml:space="preserve">una economia aperta che si colloca tra i principali </w:t>
      </w:r>
      <w:r>
        <w:t>P</w:t>
      </w:r>
      <w:r w:rsidRPr="00F523DE">
        <w:t>aesi esportatori e importatori a livello mondiale</w:t>
      </w:r>
      <w:r>
        <w:t xml:space="preserve">, e per le sue imprese, indipendentemente dalla dimensione o dal settore di attività. </w:t>
      </w:r>
      <w:r w:rsidRPr="008E6589">
        <w:t xml:space="preserve">Anche quest’anno </w:t>
      </w:r>
      <w:r>
        <w:t>rimane</w:t>
      </w:r>
      <w:r w:rsidRPr="008E6589">
        <w:t xml:space="preserve"> quindi cruciale elaborare un’accorta strategia, che punti al presidio dei mercati più dinamici e diversifichi la rete di clienti e fornitori strategici,</w:t>
      </w:r>
      <w:r>
        <w:t xml:space="preserve"> mantenendo</w:t>
      </w:r>
      <w:r w:rsidRPr="008E6589">
        <w:t xml:space="preserve"> una forte attenzione ai temi dell’innovazione, della digitalizzazione e della sostenibilità.</w:t>
      </w:r>
      <w:r w:rsidRPr="008E6589">
        <w:rPr>
          <w:b/>
          <w:bCs/>
        </w:rPr>
        <w:t xml:space="preserve"> </w:t>
      </w:r>
      <w:r w:rsidR="00C310FC">
        <w:br w:type="page"/>
      </w:r>
    </w:p>
    <w:p w14:paraId="2103F636" w14:textId="240D5D85" w:rsidR="00F36597" w:rsidRDefault="00FD5895" w:rsidP="00075241">
      <w:pPr>
        <w:pStyle w:val="Titolo2"/>
      </w:pPr>
      <w:bookmarkStart w:id="6" w:name="_Toc157430697"/>
      <w:r>
        <w:lastRenderedPageBreak/>
        <w:t xml:space="preserve">1. </w:t>
      </w:r>
      <w:r w:rsidR="00F36597">
        <w:t xml:space="preserve">L’indagine: </w:t>
      </w:r>
      <w:bookmarkEnd w:id="4"/>
      <w:bookmarkEnd w:id="5"/>
      <w:r w:rsidR="002F5ABA">
        <w:t xml:space="preserve">il rapporto tra </w:t>
      </w:r>
      <w:r w:rsidR="00C32364">
        <w:t>internazionalizzazione e transizioni gemelle</w:t>
      </w:r>
      <w:bookmarkEnd w:id="6"/>
      <w:r w:rsidR="00F36597">
        <w:t xml:space="preserve"> </w:t>
      </w:r>
    </w:p>
    <w:p w14:paraId="30094292" w14:textId="77777777" w:rsidR="00F36597" w:rsidRDefault="00F36597" w:rsidP="00075241"/>
    <w:p w14:paraId="7C9C000F" w14:textId="274A99E9" w:rsidR="006659D5" w:rsidRDefault="006659D5" w:rsidP="00B81F83">
      <w:pPr>
        <w:jc w:val="both"/>
      </w:pPr>
    </w:p>
    <w:p w14:paraId="77EB5F65" w14:textId="358EF71C" w:rsidR="00451AB7" w:rsidRDefault="00B52F77" w:rsidP="00451AB7">
      <w:pPr>
        <w:jc w:val="both"/>
      </w:pPr>
      <w:r>
        <w:t>D</w:t>
      </w:r>
      <w:r w:rsidR="00451AB7">
        <w:t>ue grandi trasformazioni</w:t>
      </w:r>
      <w:r>
        <w:t xml:space="preserve"> stanno segnan</w:t>
      </w:r>
      <w:r w:rsidR="00820A44">
        <w:t>d</w:t>
      </w:r>
      <w:r>
        <w:t>o l’epoca in cui viviamo</w:t>
      </w:r>
      <w:r w:rsidR="00451AB7">
        <w:t xml:space="preserve">: la </w:t>
      </w:r>
      <w:r w:rsidR="00451AB7" w:rsidRPr="005E6940">
        <w:rPr>
          <w:b/>
        </w:rPr>
        <w:t>transizione verde</w:t>
      </w:r>
      <w:r w:rsidR="00451AB7">
        <w:t xml:space="preserve">, che mira a rendere l'economia e la società più sostenibili, e la </w:t>
      </w:r>
      <w:r w:rsidR="00451AB7" w:rsidRPr="005E6940">
        <w:rPr>
          <w:b/>
        </w:rPr>
        <w:t>transizione digitale</w:t>
      </w:r>
      <w:r w:rsidR="00451AB7">
        <w:t>, che sta rivoluzionando i modi in cui viviamo e lavoriamo.</w:t>
      </w:r>
    </w:p>
    <w:p w14:paraId="1BB79F61" w14:textId="77777777" w:rsidR="00451AB7" w:rsidRDefault="00451AB7" w:rsidP="00451AB7">
      <w:pPr>
        <w:jc w:val="both"/>
      </w:pPr>
    </w:p>
    <w:p w14:paraId="6E69FF1D" w14:textId="5FC58353" w:rsidR="00451AB7" w:rsidRDefault="00451AB7" w:rsidP="00451AB7">
      <w:pPr>
        <w:jc w:val="both"/>
      </w:pPr>
      <w:r>
        <w:t xml:space="preserve">Queste due transizioni </w:t>
      </w:r>
      <w:r w:rsidR="00820A44">
        <w:t>hanno</w:t>
      </w:r>
      <w:r>
        <w:t xml:space="preserve"> un impatto </w:t>
      </w:r>
      <w:r w:rsidR="00820A44">
        <w:t>importante</w:t>
      </w:r>
      <w:r>
        <w:t xml:space="preserve"> sull</w:t>
      </w:r>
      <w:r w:rsidR="00820A44">
        <w:t>’intero sistema economico e quindi anche sull</w:t>
      </w:r>
      <w:r>
        <w:t>e imprese. Le tecnologie digitali possono essere utilizzate per migliorare l'efficienza, raggiungere nuovi mercati e sviluppare nuovi prodotti e servizi sostenibili</w:t>
      </w:r>
      <w:r w:rsidR="00DC19EB">
        <w:t xml:space="preserve">, rappresentano </w:t>
      </w:r>
      <w:r w:rsidR="001A4422">
        <w:t xml:space="preserve">quindi un </w:t>
      </w:r>
      <w:r w:rsidR="001A4422" w:rsidRPr="00DB2DAB">
        <w:rPr>
          <w:b/>
        </w:rPr>
        <w:t>fattore abilitante</w:t>
      </w:r>
      <w:r w:rsidR="001A4422">
        <w:t>.</w:t>
      </w:r>
      <w:r>
        <w:t xml:space="preserve"> La sostenibilità</w:t>
      </w:r>
      <w:r w:rsidR="001A4422">
        <w:t xml:space="preserve"> può essere interpretata come</w:t>
      </w:r>
      <w:r>
        <w:t xml:space="preserve"> un </w:t>
      </w:r>
      <w:r w:rsidRPr="00DB2DAB">
        <w:rPr>
          <w:b/>
        </w:rPr>
        <w:t>vincolo</w:t>
      </w:r>
      <w:r>
        <w:t xml:space="preserve">, </w:t>
      </w:r>
      <w:r w:rsidR="00F57508">
        <w:t>se letta in relazione a</w:t>
      </w:r>
      <w:r>
        <w:t xml:space="preserve">i cambiamenti </w:t>
      </w:r>
      <w:r w:rsidR="00864E0F">
        <w:t>d</w:t>
      </w:r>
      <w:r>
        <w:t>elle normative</w:t>
      </w:r>
      <w:r w:rsidR="00864E0F">
        <w:t xml:space="preserve"> e dei regolamenti o come un </w:t>
      </w:r>
      <w:r w:rsidR="00864E0F" w:rsidRPr="00DB2DAB">
        <w:rPr>
          <w:b/>
        </w:rPr>
        <w:t>obiettivo</w:t>
      </w:r>
      <w:r w:rsidR="00864E0F">
        <w:t xml:space="preserve">, se si adotta </w:t>
      </w:r>
      <w:r w:rsidR="008236D7">
        <w:t>la prospettiva del</w:t>
      </w:r>
      <w:r w:rsidR="00864E0F">
        <w:t xml:space="preserve"> </w:t>
      </w:r>
      <w:r w:rsidR="008236D7" w:rsidRPr="008236D7">
        <w:t>cambiamento delle preferenze dei consumatori</w:t>
      </w:r>
      <w:r w:rsidR="008236D7">
        <w:t>. Variazioni</w:t>
      </w:r>
      <w:r w:rsidR="008236D7" w:rsidRPr="008236D7">
        <w:t xml:space="preserve"> che impongono nuove strategie commerciali o l’ideazione di nuovi prodotti</w:t>
      </w:r>
      <w:r w:rsidR="008236D7">
        <w:t>.</w:t>
      </w:r>
    </w:p>
    <w:p w14:paraId="359B201A" w14:textId="77777777" w:rsidR="002716CD" w:rsidRDefault="002716CD" w:rsidP="00451AB7">
      <w:pPr>
        <w:jc w:val="both"/>
      </w:pPr>
    </w:p>
    <w:p w14:paraId="054C1630" w14:textId="7034BE5F" w:rsidR="0068780C" w:rsidRDefault="002716CD" w:rsidP="00451AB7">
      <w:pPr>
        <w:jc w:val="both"/>
      </w:pPr>
      <w:r>
        <w:t xml:space="preserve">Che relazioni esistono tra queste due transizioni? </w:t>
      </w:r>
      <w:r w:rsidR="001A35FF" w:rsidRPr="001A35FF">
        <w:t xml:space="preserve">Le tecnologie digitali possono contribuire a rendere la transizione verde più rapida </w:t>
      </w:r>
      <w:r w:rsidR="005D0E25" w:rsidRPr="001A35FF">
        <w:t>ed</w:t>
      </w:r>
      <w:r w:rsidR="001A35FF" w:rsidRPr="001A35FF">
        <w:t xml:space="preserve"> efficiente. Ad esempio, la blockchain può essere utilizzata per tracciare i materiali, riducendo lo spreco e migliorando l'efficienza. Inoltre, le applicazioni "Digital Twins" possono essere utilizzate per simulare il traffico, riducendo gli ingorghi e le emissioni.</w:t>
      </w:r>
      <w:r w:rsidR="00C66FED">
        <w:t xml:space="preserve"> </w:t>
      </w:r>
      <w:r w:rsidR="00F435FF">
        <w:t xml:space="preserve">Da questo punto di vista </w:t>
      </w:r>
      <w:r w:rsidR="00451AB7">
        <w:t xml:space="preserve">le due transizioni </w:t>
      </w:r>
      <w:r w:rsidR="00F435FF">
        <w:t>sono</w:t>
      </w:r>
      <w:r w:rsidR="00451AB7">
        <w:t xml:space="preserve"> </w:t>
      </w:r>
      <w:r w:rsidR="00451AB7" w:rsidRPr="005E6940">
        <w:rPr>
          <w:b/>
        </w:rPr>
        <w:t>complementari</w:t>
      </w:r>
      <w:r w:rsidR="00451AB7">
        <w:t xml:space="preserve">. </w:t>
      </w:r>
      <w:r w:rsidR="00C66FED">
        <w:t>Ma digitalizzazione e sostenibilità possono anche</w:t>
      </w:r>
      <w:r w:rsidR="00C66FED" w:rsidRPr="00C66FED">
        <w:t xml:space="preserve"> entrare in </w:t>
      </w:r>
      <w:r w:rsidR="00C66FED" w:rsidRPr="00CF3354">
        <w:rPr>
          <w:b/>
        </w:rPr>
        <w:t>conflitto</w:t>
      </w:r>
      <w:r w:rsidR="00E477FE">
        <w:t xml:space="preserve">: </w:t>
      </w:r>
      <w:r w:rsidR="00C66FED" w:rsidRPr="00C66FED">
        <w:t>la digitalizzazione richiede energia, e alcune tecnologie digitali possono avere un impatto ambientale negativo.</w:t>
      </w:r>
      <w:r w:rsidR="00F22A4F">
        <w:t xml:space="preserve"> </w:t>
      </w:r>
      <w:r w:rsidR="00451AB7">
        <w:t xml:space="preserve">Per sfruttare al meglio le opportunità offerte da queste due transizioni, è necessario un approccio integrato. </w:t>
      </w:r>
    </w:p>
    <w:p w14:paraId="598DAC9C" w14:textId="77777777" w:rsidR="00F22A4F" w:rsidRDefault="00F22A4F" w:rsidP="00451AB7">
      <w:pPr>
        <w:jc w:val="both"/>
      </w:pPr>
    </w:p>
    <w:p w14:paraId="0FB992E3" w14:textId="27DA3939" w:rsidR="000459A2" w:rsidRDefault="00535C86" w:rsidP="009139FF">
      <w:pPr>
        <w:jc w:val="both"/>
      </w:pPr>
      <w:r w:rsidRPr="009139FF">
        <w:t>Il tema scelto per la</w:t>
      </w:r>
      <w:r w:rsidR="00D33DB3" w:rsidRPr="009139FF">
        <w:t xml:space="preserve"> terza annualità dell’osservatorio sull’internazionalizzazione </w:t>
      </w:r>
      <w:r w:rsidRPr="009139FF">
        <w:t xml:space="preserve">è il </w:t>
      </w:r>
      <w:r w:rsidRPr="007262E5">
        <w:rPr>
          <w:b/>
          <w:bCs/>
        </w:rPr>
        <w:t>rapporto tra internazionalizzazione, digitalizzazione e sostenibilità ambientale</w:t>
      </w:r>
      <w:r w:rsidRPr="009139FF">
        <w:t xml:space="preserve">. </w:t>
      </w:r>
      <w:r w:rsidR="00670D17" w:rsidRPr="009139FF">
        <w:t xml:space="preserve">La sfida per le imprese </w:t>
      </w:r>
      <w:r w:rsidR="006C52D4" w:rsidRPr="009139FF">
        <w:t xml:space="preserve">è ben tratteggiata da </w:t>
      </w:r>
      <w:proofErr w:type="spellStart"/>
      <w:r w:rsidR="009139FF" w:rsidRPr="009139FF">
        <w:t>Denicolai</w:t>
      </w:r>
      <w:proofErr w:type="spellEnd"/>
      <w:r w:rsidR="009139FF" w:rsidRPr="009139FF">
        <w:t xml:space="preserve"> et al. (2021):</w:t>
      </w:r>
    </w:p>
    <w:p w14:paraId="31CB4C7C" w14:textId="77777777" w:rsidR="000459A2" w:rsidRDefault="000459A2" w:rsidP="006C52D4">
      <w:pPr>
        <w:jc w:val="both"/>
      </w:pPr>
    </w:p>
    <w:p w14:paraId="5D93B2A9" w14:textId="00C8741E" w:rsidR="006C52D4" w:rsidRDefault="006C52D4" w:rsidP="00101F25">
      <w:pPr>
        <w:ind w:left="567"/>
        <w:jc w:val="both"/>
      </w:pPr>
      <w:r w:rsidRPr="000459A2">
        <w:rPr>
          <w:i/>
          <w:iCs/>
        </w:rPr>
        <w:t>“…</w:t>
      </w:r>
      <w:r w:rsidR="00723C21" w:rsidRPr="000459A2">
        <w:rPr>
          <w:i/>
        </w:rPr>
        <w:t xml:space="preserve">l’internazionalizzazione e il progresso tecnologico sono spesso considerati potenzialmente pericolosi per l’ambiente, a causa di </w:t>
      </w:r>
      <w:r w:rsidRPr="000459A2">
        <w:rPr>
          <w:i/>
          <w:iCs/>
        </w:rPr>
        <w:t>problemi legati</w:t>
      </w:r>
      <w:r w:rsidR="00723C21" w:rsidRPr="000459A2">
        <w:rPr>
          <w:i/>
        </w:rPr>
        <w:t xml:space="preserve"> all’inquinamento o </w:t>
      </w:r>
      <w:r w:rsidRPr="000459A2">
        <w:rPr>
          <w:i/>
          <w:iCs/>
        </w:rPr>
        <w:t>all’uso eccessivo</w:t>
      </w:r>
      <w:r w:rsidR="00723C21" w:rsidRPr="000459A2">
        <w:rPr>
          <w:i/>
        </w:rPr>
        <w:t xml:space="preserve"> delle risorse del pianeta.</w:t>
      </w:r>
      <w:r w:rsidRPr="000459A2">
        <w:rPr>
          <w:i/>
          <w:iCs/>
        </w:rPr>
        <w:t xml:space="preserve"> Questi percorsi di crescita possono favorire il progresso e la prosperità globale, solo se sostenibili. Man mano che emergono pressioni per l’implementazione di pratiche di sostenibilità in conseguenza di nuove normative e forti pressioni da parte delle parti interessate in molti paesi, la crescita sostenibile dovrà essere uno standard che le PMI devono perseguire</w:t>
      </w:r>
      <w:r w:rsidR="00A76212" w:rsidRPr="000459A2">
        <w:rPr>
          <w:i/>
          <w:iCs/>
        </w:rPr>
        <w:t xml:space="preserve">. </w:t>
      </w:r>
      <w:r w:rsidRPr="000459A2">
        <w:rPr>
          <w:i/>
          <w:iCs/>
        </w:rPr>
        <w:t>Le PMI sono pronte per sfide così complesse? Internazionalizzazione, digitalizzazione e sostenibilità sono opzioni di crescita concorrenti o complementari per queste aziende?</w:t>
      </w:r>
      <w:r w:rsidR="003A2CAD">
        <w:rPr>
          <w:rStyle w:val="Rimandonotaapidipagina"/>
          <w:i/>
          <w:iCs/>
        </w:rPr>
        <w:footnoteReference w:id="3"/>
      </w:r>
      <w:r w:rsidR="000459A2">
        <w:rPr>
          <w:i/>
          <w:iCs/>
        </w:rPr>
        <w:t>”</w:t>
      </w:r>
    </w:p>
    <w:p w14:paraId="151A85E2" w14:textId="1B5ABFE2" w:rsidR="00F22A4F" w:rsidRDefault="00F22A4F" w:rsidP="00451AB7">
      <w:pPr>
        <w:jc w:val="both"/>
        <w:rPr>
          <w:highlight w:val="yellow"/>
        </w:rPr>
      </w:pPr>
    </w:p>
    <w:p w14:paraId="20143FAE" w14:textId="6AC2659F" w:rsidR="00BA4FA2" w:rsidRDefault="008A6428" w:rsidP="00451AB7">
      <w:pPr>
        <w:jc w:val="both"/>
      </w:pPr>
      <w:r>
        <w:t>Il risultato del</w:t>
      </w:r>
      <w:r w:rsidR="009231A4" w:rsidRPr="009231A4">
        <w:t xml:space="preserve"> lavoro di </w:t>
      </w:r>
      <w:proofErr w:type="spellStart"/>
      <w:r w:rsidR="009231A4" w:rsidRPr="009231A4">
        <w:t>Denicolai</w:t>
      </w:r>
      <w:proofErr w:type="spellEnd"/>
      <w:r>
        <w:t xml:space="preserve"> </w:t>
      </w:r>
      <w:r w:rsidR="00494DBD">
        <w:t xml:space="preserve">e altri </w:t>
      </w:r>
      <w:r w:rsidR="004C72EE">
        <w:t>evidenzia che</w:t>
      </w:r>
      <w:r w:rsidR="009231A4" w:rsidRPr="009231A4">
        <w:t xml:space="preserve"> il triangolo </w:t>
      </w:r>
      <w:r w:rsidR="00B90A84">
        <w:t>internazionalizzazione-</w:t>
      </w:r>
      <w:r w:rsidR="009231A4" w:rsidRPr="009231A4">
        <w:t>sostenibilità-digitalizzazione present</w:t>
      </w:r>
      <w:r w:rsidR="00971F85">
        <w:t>a</w:t>
      </w:r>
      <w:r w:rsidR="009231A4" w:rsidRPr="009231A4">
        <w:t xml:space="preserve"> una evidente correlazione almeno per quanto riguarda le piccole medie imprese. Difatti – sostengono gli autori – investire in digitalizzazione o in sostenibilità – focalizzandosi su una delle due senza disperdere le risorse economiche – permette di guadagnare un solido vantaggio in termini di espansione internazionale ed ampliamento delle proprie dimensioni.</w:t>
      </w:r>
    </w:p>
    <w:p w14:paraId="4A065A52" w14:textId="1247975F" w:rsidR="009231A4" w:rsidRDefault="009231A4" w:rsidP="00451AB7">
      <w:pPr>
        <w:jc w:val="both"/>
        <w:rPr>
          <w:highlight w:val="yellow"/>
        </w:rPr>
      </w:pPr>
    </w:p>
    <w:p w14:paraId="2747DE3C" w14:textId="763D2F34" w:rsidR="00BA4FA2" w:rsidRDefault="00210D19" w:rsidP="00BA4FA2">
      <w:pPr>
        <w:jc w:val="both"/>
      </w:pPr>
      <w:r w:rsidRPr="005D4EF6">
        <w:t>Alla luce di questi risultati alcune domande diventano centrali: c</w:t>
      </w:r>
      <w:r w:rsidR="00BA4FA2" w:rsidRPr="005D4EF6">
        <w:t xml:space="preserve">ome è valutata l’importanza della sostenibilità da parte delle imprese di </w:t>
      </w:r>
      <w:r w:rsidR="00C01310">
        <w:t>Treviso, Padova, Venezia e Rovigo</w:t>
      </w:r>
      <w:r w:rsidR="00BA4FA2" w:rsidRPr="005D4EF6">
        <w:t xml:space="preserve"> in relazione alla propria espansione internazionale? Qual è il livello di interesse che i clienti delle imprese intervistate pongono a questo tema? La scelta di perseguire politiche di sostenibilità modifica la facilità di accesso a nuovi mercati? E, in termini più </w:t>
      </w:r>
      <w:r w:rsidR="00BA4FA2" w:rsidRPr="005D4EF6">
        <w:lastRenderedPageBreak/>
        <w:t>generali, come influenza le strategie di internazionalizzazione?</w:t>
      </w:r>
      <w:r w:rsidR="00BD5AF1" w:rsidRPr="005D4EF6">
        <w:t xml:space="preserve"> </w:t>
      </w:r>
      <w:r w:rsidR="00BA4FA2" w:rsidRPr="005D4EF6">
        <w:t xml:space="preserve">Per rispondere a tutte queste domande è stata progettata la parte </w:t>
      </w:r>
      <w:r w:rsidR="00FF128F" w:rsidRPr="005D4EF6">
        <w:t>centrale</w:t>
      </w:r>
      <w:r w:rsidR="00BA4FA2" w:rsidRPr="005D4EF6">
        <w:t xml:space="preserve"> del questionario</w:t>
      </w:r>
      <w:r w:rsidR="00666FB1">
        <w:t>.</w:t>
      </w:r>
      <w:r w:rsidR="00BA4FA2">
        <w:t xml:space="preserve"> </w:t>
      </w:r>
    </w:p>
    <w:p w14:paraId="762F134E" w14:textId="77777777" w:rsidR="00D33DB3" w:rsidRPr="005D4EF6" w:rsidRDefault="00D33DB3" w:rsidP="00451AB7">
      <w:pPr>
        <w:jc w:val="both"/>
      </w:pPr>
    </w:p>
    <w:p w14:paraId="1156E63C" w14:textId="0CAD3DCB" w:rsidR="00AB6F72" w:rsidRDefault="00110607" w:rsidP="00451AB7">
      <w:pPr>
        <w:jc w:val="both"/>
      </w:pPr>
      <w:r>
        <w:t>I</w:t>
      </w:r>
      <w:r w:rsidR="0010350A">
        <w:t xml:space="preserve">l report presenterà tre </w:t>
      </w:r>
      <w:r w:rsidR="00731A7B">
        <w:t>macro</w:t>
      </w:r>
      <w:r w:rsidR="0010350A">
        <w:t>sezioni</w:t>
      </w:r>
      <w:r w:rsidR="00312A4B">
        <w:t>.</w:t>
      </w:r>
      <w:r w:rsidR="00731A7B">
        <w:t xml:space="preserve"> </w:t>
      </w:r>
      <w:r w:rsidR="00312A4B">
        <w:t>L</w:t>
      </w:r>
      <w:r w:rsidR="00731A7B">
        <w:t>a prima</w:t>
      </w:r>
      <w:r w:rsidR="00CF7B7F">
        <w:t xml:space="preserve"> (paragrafo 2)</w:t>
      </w:r>
      <w:r w:rsidR="00731A7B">
        <w:t xml:space="preserve"> </w:t>
      </w:r>
      <w:r w:rsidR="00855745">
        <w:t>analizza</w:t>
      </w:r>
      <w:r w:rsidR="00835DDC">
        <w:t xml:space="preserve"> le modalità di i</w:t>
      </w:r>
      <w:r w:rsidR="00855745">
        <w:t>nternazionalizzazione adottate dalle imprese</w:t>
      </w:r>
      <w:r w:rsidR="00312A4B">
        <w:t xml:space="preserve"> de</w:t>
      </w:r>
      <w:r w:rsidR="00DE1980">
        <w:t xml:space="preserve">lle province di </w:t>
      </w:r>
      <w:r w:rsidR="00C01310">
        <w:t>Treviso, Padova, Venezia e Rovigo</w:t>
      </w:r>
      <w:r w:rsidR="00B87CB3">
        <w:t xml:space="preserve">: quanto esportano e </w:t>
      </w:r>
      <w:r w:rsidR="00F65DF8">
        <w:t xml:space="preserve">in che </w:t>
      </w:r>
      <w:r w:rsidR="00547C5E">
        <w:t>mercati</w:t>
      </w:r>
      <w:r w:rsidR="00B87CB3">
        <w:t xml:space="preserve">, </w:t>
      </w:r>
      <w:r w:rsidR="00F23EC4">
        <w:t xml:space="preserve">se hanno </w:t>
      </w:r>
      <w:r w:rsidR="00547C5E">
        <w:t xml:space="preserve">propri stabilimenti, filiali, </w:t>
      </w:r>
      <w:r w:rsidR="00BB1415">
        <w:t xml:space="preserve">uffici all’estero e quali sono </w:t>
      </w:r>
      <w:r w:rsidR="00ED4A25">
        <w:t xml:space="preserve">i paesi target circa </w:t>
      </w:r>
      <w:r w:rsidR="00BB1415">
        <w:t xml:space="preserve">le prospettive </w:t>
      </w:r>
      <w:r w:rsidR="00ED4A25">
        <w:t>di export per</w:t>
      </w:r>
      <w:r w:rsidR="00BB1415">
        <w:t xml:space="preserve"> il 2024</w:t>
      </w:r>
      <w:r w:rsidR="00ED4A25">
        <w:t>.</w:t>
      </w:r>
    </w:p>
    <w:p w14:paraId="787ECD13" w14:textId="77777777" w:rsidR="00BC53E1" w:rsidRDefault="00BC53E1" w:rsidP="00451AB7">
      <w:pPr>
        <w:jc w:val="both"/>
      </w:pPr>
    </w:p>
    <w:p w14:paraId="150246BB" w14:textId="34C173D6" w:rsidR="00ED4A25" w:rsidRDefault="00ED4A25" w:rsidP="00451AB7">
      <w:pPr>
        <w:jc w:val="both"/>
      </w:pPr>
      <w:r>
        <w:t xml:space="preserve">La seconda sezione, comprendente i paragrafi 3 e 4, </w:t>
      </w:r>
      <w:r w:rsidR="00EF42FE">
        <w:t>approfondisce la questione delle Catene Globali del Valore (CGV) e della loro rimodulazione</w:t>
      </w:r>
      <w:r w:rsidR="004978D5">
        <w:t>,</w:t>
      </w:r>
      <w:r w:rsidR="007E765F">
        <w:t xml:space="preserve"> </w:t>
      </w:r>
      <w:r w:rsidR="00EE24E4">
        <w:t>individua</w:t>
      </w:r>
      <w:r w:rsidR="007E765F">
        <w:t>ndo</w:t>
      </w:r>
      <w:r w:rsidR="00EE24E4">
        <w:t xml:space="preserve"> </w:t>
      </w:r>
      <w:r w:rsidR="00191F38">
        <w:t xml:space="preserve">le direzioni dei cambiamenti in atto </w:t>
      </w:r>
      <w:r w:rsidR="00903409">
        <w:t xml:space="preserve">e il posizionamento delle imprese </w:t>
      </w:r>
      <w:r w:rsidR="007A7F8B">
        <w:t xml:space="preserve">manifatturiere </w:t>
      </w:r>
      <w:r w:rsidR="00973935" w:rsidRPr="00700ED6">
        <w:t>della</w:t>
      </w:r>
      <w:r w:rsidR="007A7F8B">
        <w:t xml:space="preserve"> regione a fronte di tali cambiamenti</w:t>
      </w:r>
      <w:r w:rsidR="00D8620F">
        <w:t>.</w:t>
      </w:r>
    </w:p>
    <w:p w14:paraId="3F565DDE" w14:textId="77777777" w:rsidR="0021692B" w:rsidRDefault="0021692B" w:rsidP="00451AB7">
      <w:pPr>
        <w:jc w:val="both"/>
      </w:pPr>
    </w:p>
    <w:p w14:paraId="68FFA78F" w14:textId="563B9485" w:rsidR="0029428C" w:rsidRDefault="007A7F8B" w:rsidP="00451AB7">
      <w:pPr>
        <w:jc w:val="both"/>
      </w:pPr>
      <w:r>
        <w:t>L</w:t>
      </w:r>
      <w:r w:rsidR="00923AB2">
        <w:t>a terza sezione</w:t>
      </w:r>
      <w:r w:rsidR="00CF7B7F">
        <w:t xml:space="preserve"> (paragraf</w:t>
      </w:r>
      <w:r w:rsidR="00874EA7">
        <w:t>i</w:t>
      </w:r>
      <w:r w:rsidR="00CF7B7F">
        <w:t xml:space="preserve"> 5</w:t>
      </w:r>
      <w:r w:rsidR="00874EA7">
        <w:t xml:space="preserve"> e 6</w:t>
      </w:r>
      <w:r w:rsidR="00CF7B7F">
        <w:t>)</w:t>
      </w:r>
      <w:r w:rsidR="00923AB2">
        <w:t xml:space="preserve"> pone una lente d’ingrandimento </w:t>
      </w:r>
      <w:r w:rsidR="00A94B6B">
        <w:t>scelto come approfondimento per il</w:t>
      </w:r>
      <w:r w:rsidR="001764A2">
        <w:t xml:space="preserve"> rapporto</w:t>
      </w:r>
      <w:r w:rsidR="00A94B6B">
        <w:t xml:space="preserve"> 2023: la relazione tra processi di internazionalizzazione,</w:t>
      </w:r>
      <w:r w:rsidR="001764A2">
        <w:t xml:space="preserve"> digitalizzazione e </w:t>
      </w:r>
      <w:r w:rsidR="004F3897">
        <w:t>transizione green</w:t>
      </w:r>
      <w:r w:rsidR="00973935" w:rsidRPr="00700ED6">
        <w:t>.</w:t>
      </w:r>
    </w:p>
    <w:p w14:paraId="5F680891" w14:textId="77777777" w:rsidR="00923AB2" w:rsidRPr="004503CF" w:rsidRDefault="00923AB2" w:rsidP="00451AB7">
      <w:pPr>
        <w:jc w:val="both"/>
      </w:pPr>
    </w:p>
    <w:p w14:paraId="552DE6C7" w14:textId="32F5A4AE" w:rsidR="00D33DB3" w:rsidRDefault="00D33DB3" w:rsidP="00451AB7">
      <w:pPr>
        <w:jc w:val="both"/>
        <w:rPr>
          <w:highlight w:val="yellow"/>
        </w:rPr>
      </w:pPr>
    </w:p>
    <w:p w14:paraId="21FB36AD" w14:textId="77777777" w:rsidR="0068780C" w:rsidRDefault="0068780C" w:rsidP="00B81F83">
      <w:pPr>
        <w:jc w:val="both"/>
        <w:rPr>
          <w:highlight w:val="yellow"/>
        </w:rPr>
      </w:pPr>
    </w:p>
    <w:p w14:paraId="609F7D3E" w14:textId="73F26349" w:rsidR="00F36597" w:rsidRPr="009E1E3B" w:rsidRDefault="00F36597" w:rsidP="00B81F83">
      <w:pPr>
        <w:jc w:val="both"/>
        <w:rPr>
          <w:highlight w:val="yellow"/>
        </w:rPr>
      </w:pPr>
      <w:r w:rsidRPr="009E1E3B">
        <w:rPr>
          <w:highlight w:val="yellow"/>
        </w:rPr>
        <w:t xml:space="preserve">    </w:t>
      </w:r>
    </w:p>
    <w:p w14:paraId="1AC0BD4E" w14:textId="3F11370C" w:rsidR="00F36597" w:rsidRDefault="00F36597" w:rsidP="00075241"/>
    <w:p w14:paraId="47407618" w14:textId="77777777" w:rsidR="00F36597" w:rsidRDefault="00F36597" w:rsidP="00075241"/>
    <w:p w14:paraId="71162E66" w14:textId="77777777" w:rsidR="00F36597" w:rsidRDefault="00F36597" w:rsidP="00075241"/>
    <w:p w14:paraId="10FA0881" w14:textId="77777777" w:rsidR="00CB516E" w:rsidRDefault="00CB516E" w:rsidP="00075241">
      <w:pPr>
        <w:rPr>
          <w:rFonts w:asciiTheme="majorHAnsi" w:eastAsiaTheme="majorEastAsia" w:hAnsiTheme="majorHAnsi" w:cstheme="majorBidi"/>
          <w:color w:val="2F5496" w:themeColor="accent1" w:themeShade="BF"/>
          <w:sz w:val="26"/>
          <w:szCs w:val="26"/>
        </w:rPr>
      </w:pPr>
      <w:r>
        <w:br w:type="page"/>
      </w:r>
    </w:p>
    <w:p w14:paraId="2C5FB4FD" w14:textId="1F4109F0" w:rsidR="00A44A23" w:rsidRDefault="004269D1" w:rsidP="000426CB">
      <w:pPr>
        <w:pStyle w:val="Titolo2"/>
      </w:pPr>
      <w:bookmarkStart w:id="7" w:name="_Toc157430698"/>
      <w:r w:rsidRPr="00015C88">
        <w:lastRenderedPageBreak/>
        <w:t xml:space="preserve">2. </w:t>
      </w:r>
      <w:r w:rsidR="00D33935">
        <w:t>S</w:t>
      </w:r>
      <w:r w:rsidR="00CC34D7">
        <w:t>trategie di internazionalizzazione</w:t>
      </w:r>
      <w:bookmarkEnd w:id="7"/>
      <w:r w:rsidR="00FD5895">
        <w:t xml:space="preserve"> </w:t>
      </w:r>
    </w:p>
    <w:p w14:paraId="3CD587B3" w14:textId="77777777" w:rsidR="006A20C0" w:rsidRDefault="006A20C0" w:rsidP="00A44A23"/>
    <w:p w14:paraId="6FE1D3BB" w14:textId="77777777" w:rsidR="00003D8D" w:rsidRDefault="00003D8D" w:rsidP="00A44A23"/>
    <w:p w14:paraId="5565A86B" w14:textId="4D377383" w:rsidR="00D33935" w:rsidRDefault="009E04D7" w:rsidP="001B60B3">
      <w:pPr>
        <w:jc w:val="both"/>
      </w:pPr>
      <w:r>
        <w:t xml:space="preserve">L’indagine campionaria effettuata aveva come obiettivo quello di raccogliere informazioni circa le diverse modalità di internazionalizzazione adottate dalle imprese. </w:t>
      </w:r>
      <w:r w:rsidR="00690079">
        <w:t xml:space="preserve">La successiva lettura e analisi dei dati è stata eseguita considerando il modello di internazionalizzazione à la </w:t>
      </w:r>
      <w:r w:rsidR="001E554A">
        <w:t xml:space="preserve">Johanson e </w:t>
      </w:r>
      <w:proofErr w:type="spellStart"/>
      <w:r w:rsidR="001E554A">
        <w:t>Wiedersheim</w:t>
      </w:r>
      <w:proofErr w:type="spellEnd"/>
      <w:r w:rsidR="001E554A">
        <w:t>-Paul (1975)</w:t>
      </w:r>
      <w:r w:rsidR="009044CD">
        <w:t>, il quale descrive l’internazionalizzazione di un’impresa come un processo che si sviluppa in vari stadi sequenziali</w:t>
      </w:r>
      <w:r w:rsidR="001B60B3">
        <w:t xml:space="preserve"> (Fig. 2.1).</w:t>
      </w:r>
      <w:r w:rsidR="001F62B8">
        <w:br/>
        <w:t xml:space="preserve">Con lo scopo di agevolare la lettura dei dati </w:t>
      </w:r>
      <w:r w:rsidR="00BC01E3">
        <w:t xml:space="preserve">è </w:t>
      </w:r>
      <w:r w:rsidR="00530F66">
        <w:t>stata</w:t>
      </w:r>
      <w:r w:rsidR="00BC01E3">
        <w:t xml:space="preserve"> seguit</w:t>
      </w:r>
      <w:r w:rsidR="00530F66">
        <w:t>a</w:t>
      </w:r>
      <w:r w:rsidR="00BC01E3">
        <w:t xml:space="preserve"> </w:t>
      </w:r>
      <w:r w:rsidR="00530F66">
        <w:t xml:space="preserve">una tecnica statistica </w:t>
      </w:r>
      <w:r w:rsidR="00BC01E3">
        <w:t xml:space="preserve">– la cluster analysis – </w:t>
      </w:r>
      <w:r w:rsidR="009D47BE">
        <w:t>che permette di raggruppare le osservazioni – in questo caso le imprese – in gruppi tanto più diversi tra loro quanto più omogenei al loro interno.</w:t>
      </w:r>
    </w:p>
    <w:p w14:paraId="32050307" w14:textId="77777777" w:rsidR="00D33935" w:rsidRPr="00A44A23" w:rsidRDefault="00D33935" w:rsidP="001B60B3">
      <w:pPr>
        <w:jc w:val="both"/>
      </w:pPr>
    </w:p>
    <w:p w14:paraId="7F03D4C8" w14:textId="4854756B" w:rsidR="00AF421C" w:rsidRDefault="00AF421C" w:rsidP="00AF421C">
      <w:pPr>
        <w:pStyle w:val="Titolo3"/>
      </w:pPr>
      <w:bookmarkStart w:id="8" w:name="_Toc157430699"/>
      <w:r>
        <w:t xml:space="preserve">2.1 </w:t>
      </w:r>
      <w:r w:rsidR="006F0211">
        <w:t>Una prima rappresentazione delle strategie di internazionalizzazione: i cluster</w:t>
      </w:r>
      <w:bookmarkEnd w:id="8"/>
    </w:p>
    <w:p w14:paraId="1A079D0C" w14:textId="77777777" w:rsidR="00023D8B" w:rsidRDefault="00023D8B" w:rsidP="00075241"/>
    <w:p w14:paraId="327546B3" w14:textId="2A7D10D6" w:rsidR="00575EE6" w:rsidRDefault="00413D05" w:rsidP="00575EE6">
      <w:pPr>
        <w:jc w:val="both"/>
      </w:pPr>
      <w:r>
        <w:t xml:space="preserve">Il risultato </w:t>
      </w:r>
      <w:r w:rsidR="00530F66">
        <w:t xml:space="preserve">della cluster analysis </w:t>
      </w:r>
      <w:r>
        <w:t>ci ha portato a identificare quattro diversi cluster</w:t>
      </w:r>
      <w:r w:rsidR="00740202">
        <w:t>/raggruppamenti</w:t>
      </w:r>
      <w:r w:rsidR="00D83F25">
        <w:t xml:space="preserve"> di imprese</w:t>
      </w:r>
      <w:r w:rsidR="005116CA">
        <w:t xml:space="preserve"> che descrivono </w:t>
      </w:r>
      <w:r w:rsidR="001B60B3">
        <w:t>modalità distinte di internazionalizzazione</w:t>
      </w:r>
      <w:r w:rsidR="005116CA">
        <w:t>.</w:t>
      </w:r>
      <w:r w:rsidR="009648D0">
        <w:t xml:space="preserve"> </w:t>
      </w:r>
      <w:r w:rsidR="00575EE6">
        <w:t>Le due variabili che sono state utilizzate per creare i raggruppamenti sono la quota di fatturato conseguita in Italia, in Unione Europea e in paesi extra UE e il tipo di rapporti che l’impresa intrattiene sui mercati esteri.</w:t>
      </w:r>
    </w:p>
    <w:p w14:paraId="310680DA" w14:textId="77777777" w:rsidR="0074379E" w:rsidRDefault="0074379E" w:rsidP="00575EE6">
      <w:pPr>
        <w:jc w:val="both"/>
      </w:pPr>
    </w:p>
    <w:p w14:paraId="0CAD3933" w14:textId="5E789184" w:rsidR="00023D8B" w:rsidRDefault="001B60B3" w:rsidP="00FD226B">
      <w:pPr>
        <w:jc w:val="both"/>
      </w:pPr>
      <w:r>
        <w:t xml:space="preserve">La </w:t>
      </w:r>
      <w:r w:rsidR="00E8513C">
        <w:t>Figura</w:t>
      </w:r>
      <w:r w:rsidR="009648D0">
        <w:t xml:space="preserve"> 2.1</w:t>
      </w:r>
      <w:r w:rsidR="009648D0" w:rsidRPr="00C45D0D">
        <w:t xml:space="preserve"> </w:t>
      </w:r>
      <w:r>
        <w:t xml:space="preserve">evidenzia la </w:t>
      </w:r>
      <w:r w:rsidR="00E8513C">
        <w:t xml:space="preserve">differente </w:t>
      </w:r>
      <w:r>
        <w:t xml:space="preserve">numerosità delle imprese per ogni </w:t>
      </w:r>
      <w:r w:rsidR="00E8513C">
        <w:t xml:space="preserve">cluster. </w:t>
      </w:r>
    </w:p>
    <w:p w14:paraId="49BBA0D9" w14:textId="77777777" w:rsidR="00CC729D" w:rsidRDefault="00CC729D" w:rsidP="00075241"/>
    <w:p w14:paraId="127985EB" w14:textId="77777777" w:rsidR="00003D8D" w:rsidRDefault="00003D8D" w:rsidP="00075241"/>
    <w:p w14:paraId="5BEF8F4C" w14:textId="32694BDC" w:rsidR="001844E7" w:rsidRDefault="00E8513C" w:rsidP="00075241">
      <w:pPr>
        <w:rPr>
          <w:b/>
          <w:bCs/>
        </w:rPr>
      </w:pPr>
      <w:r w:rsidRPr="00B47331">
        <w:rPr>
          <w:b/>
          <w:bCs/>
        </w:rPr>
        <w:t>Fig</w:t>
      </w:r>
      <w:r w:rsidR="00C45D0D" w:rsidRPr="00B47331">
        <w:rPr>
          <w:b/>
          <w:bCs/>
        </w:rPr>
        <w:t>.</w:t>
      </w:r>
      <w:r w:rsidR="001844E7" w:rsidRPr="00B47331">
        <w:rPr>
          <w:b/>
          <w:bCs/>
        </w:rPr>
        <w:t xml:space="preserve"> 2.</w:t>
      </w:r>
      <w:r w:rsidR="000426CB" w:rsidRPr="00B47331">
        <w:rPr>
          <w:b/>
          <w:bCs/>
        </w:rPr>
        <w:t>1</w:t>
      </w:r>
      <w:r w:rsidR="001844E7" w:rsidRPr="00B47331">
        <w:rPr>
          <w:b/>
          <w:bCs/>
        </w:rPr>
        <w:t xml:space="preserve"> </w:t>
      </w:r>
      <w:r w:rsidR="00C45D0D" w:rsidRPr="00B47331">
        <w:rPr>
          <w:b/>
          <w:bCs/>
        </w:rPr>
        <w:t>-</w:t>
      </w:r>
      <w:r w:rsidR="001844E7" w:rsidRPr="00B47331">
        <w:rPr>
          <w:b/>
          <w:bCs/>
        </w:rPr>
        <w:t xml:space="preserve"> Numerosità di imprese per cluster</w:t>
      </w:r>
    </w:p>
    <w:p w14:paraId="1855216B" w14:textId="035BB6FB" w:rsidR="006F5054" w:rsidRDefault="006F5054" w:rsidP="006F5054">
      <w:pPr>
        <w:jc w:val="center"/>
        <w:rPr>
          <w:b/>
          <w:bCs/>
        </w:rPr>
      </w:pPr>
      <w:r>
        <w:rPr>
          <w:noProof/>
        </w:rPr>
        <w:drawing>
          <wp:inline distT="0" distB="0" distL="0" distR="0" wp14:anchorId="7087739A" wp14:editId="59D02248">
            <wp:extent cx="4572000" cy="2743200"/>
            <wp:effectExtent l="0" t="0" r="0" b="0"/>
            <wp:docPr id="796571406" name="Grafico 1">
              <a:extLst xmlns:a="http://schemas.openxmlformats.org/drawingml/2006/main">
                <a:ext uri="{FF2B5EF4-FFF2-40B4-BE49-F238E27FC236}">
                  <a16:creationId xmlns:a16="http://schemas.microsoft.com/office/drawing/2014/main" id="{070986DB-B89F-E82E-ACEE-09FDDA0E0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B1C54E" w14:textId="18C6A552" w:rsidR="00BB25B4" w:rsidRPr="008C687E" w:rsidRDefault="00BB25B4" w:rsidP="00BB25B4">
      <w:pPr>
        <w:rPr>
          <w:sz w:val="14"/>
          <w:szCs w:val="14"/>
        </w:rPr>
      </w:pPr>
      <w:r w:rsidRPr="008C687E">
        <w:rPr>
          <w:sz w:val="18"/>
          <w:szCs w:val="18"/>
        </w:rPr>
        <w:t>Fonte: Fondazione Nord Est 2023 (649 casi)</w:t>
      </w:r>
    </w:p>
    <w:p w14:paraId="2780C64D" w14:textId="05D4F7A5" w:rsidR="00845C69" w:rsidRDefault="00845C69" w:rsidP="00075241"/>
    <w:p w14:paraId="437435D7" w14:textId="5008F858" w:rsidR="00871AA7" w:rsidRDefault="00871AA7" w:rsidP="00871AA7">
      <w:pPr>
        <w:jc w:val="both"/>
      </w:pPr>
      <w:r>
        <w:t xml:space="preserve">Per quanto riguarda la prima variabile </w:t>
      </w:r>
      <w:r w:rsidR="006100D0">
        <w:t>si osserva che</w:t>
      </w:r>
      <w:r w:rsidR="00E8513C">
        <w:t xml:space="preserve"> i cluster “Internazionalizzati a 360°” e</w:t>
      </w:r>
      <w:r w:rsidR="007F7E0F">
        <w:t>d</w:t>
      </w:r>
      <w:r w:rsidR="00E8513C">
        <w:t xml:space="preserve"> “</w:t>
      </w:r>
      <w:r w:rsidR="00716A85">
        <w:t>Esportatori globali</w:t>
      </w:r>
      <w:r w:rsidR="00E8513C">
        <w:t>”</w:t>
      </w:r>
      <w:r w:rsidR="006100D0">
        <w:t xml:space="preserve"> </w:t>
      </w:r>
      <w:r>
        <w:t>sembra</w:t>
      </w:r>
      <w:r w:rsidR="00E8513C">
        <w:t>n</w:t>
      </w:r>
      <w:r>
        <w:t xml:space="preserve">o avere una distribuzione geografica dei ricavi abbastanza omogenea rispetto alle tre aree </w:t>
      </w:r>
      <w:r w:rsidR="00E8513C" w:rsidRPr="009706E9">
        <w:t>geografiche</w:t>
      </w:r>
      <w:r w:rsidR="00B74D11" w:rsidRPr="009706E9">
        <w:t xml:space="preserve">. </w:t>
      </w:r>
      <w:r w:rsidR="000B5429" w:rsidRPr="009706E9">
        <w:t>Detta in altro modo, le impres</w:t>
      </w:r>
      <w:r w:rsidR="007F7E0F" w:rsidRPr="009706E9">
        <w:t xml:space="preserve">e di questi </w:t>
      </w:r>
      <w:r w:rsidR="000B5429" w:rsidRPr="009706E9">
        <w:t>raggruppamenti distribuiscono i loro ricav</w:t>
      </w:r>
      <w:r w:rsidR="007F7E0F" w:rsidRPr="009706E9">
        <w:t xml:space="preserve">i in maniera </w:t>
      </w:r>
      <w:proofErr w:type="spellStart"/>
      <w:r w:rsidR="007F7E0F" w:rsidRPr="009706E9">
        <w:t>pressochè</w:t>
      </w:r>
      <w:proofErr w:type="spellEnd"/>
      <w:r w:rsidR="007F7E0F" w:rsidRPr="009706E9">
        <w:t xml:space="preserve"> </w:t>
      </w:r>
      <w:r w:rsidR="000B5429" w:rsidRPr="009706E9">
        <w:t xml:space="preserve">uniforme tra </w:t>
      </w:r>
      <w:r w:rsidR="00E0386C" w:rsidRPr="009706E9">
        <w:t xml:space="preserve">il mercato nazionale e i </w:t>
      </w:r>
      <w:r w:rsidR="000B5429" w:rsidRPr="009706E9">
        <w:t>mercati</w:t>
      </w:r>
      <w:r w:rsidR="00E0386C" w:rsidRPr="009706E9">
        <w:t xml:space="preserve"> UE ed Extra UE</w:t>
      </w:r>
      <w:r w:rsidR="00865BA1" w:rsidRPr="009706E9">
        <w:t xml:space="preserve"> (Fig. 2.2)</w:t>
      </w:r>
      <w:r w:rsidR="007F7E0F" w:rsidRPr="009706E9">
        <w:t xml:space="preserve">, con una larga prevalenza nel complesso della quota di fatturato estero. </w:t>
      </w:r>
      <w:r w:rsidR="00E8513C" w:rsidRPr="009706E9">
        <w:t>Gli altri cl</w:t>
      </w:r>
      <w:r w:rsidRPr="009706E9">
        <w:t>uster raggruppano</w:t>
      </w:r>
      <w:r w:rsidR="00C742AC" w:rsidRPr="009706E9">
        <w:t>, invece,</w:t>
      </w:r>
      <w:r w:rsidRPr="009706E9">
        <w:t xml:space="preserve"> rispettivamente gli esportatori che possiamo definire </w:t>
      </w:r>
      <w:r w:rsidR="00B47331" w:rsidRPr="009706E9">
        <w:t>“attenti al mercato domestico”</w:t>
      </w:r>
      <w:r w:rsidR="007F7E0F" w:rsidRPr="009706E9">
        <w:t xml:space="preserve"> – media </w:t>
      </w:r>
      <w:r w:rsidR="009C7D57" w:rsidRPr="009706E9">
        <w:t xml:space="preserve">del </w:t>
      </w:r>
      <w:r w:rsidR="006866A7" w:rsidRPr="009706E9">
        <w:t>24</w:t>
      </w:r>
      <w:r w:rsidRPr="009706E9">
        <w:t>% del fatturato conseguit</w:t>
      </w:r>
      <w:r w:rsidR="007F7E0F" w:rsidRPr="009706E9">
        <w:t xml:space="preserve">o all’estero </w:t>
      </w:r>
      <w:r w:rsidRPr="009706E9">
        <w:t>– e</w:t>
      </w:r>
      <w:r w:rsidR="007F7E0F" w:rsidRPr="009706E9">
        <w:t xml:space="preserve"> gli </w:t>
      </w:r>
      <w:r w:rsidR="00C706F5" w:rsidRPr="009706E9">
        <w:t>“E</w:t>
      </w:r>
      <w:r w:rsidR="007F7E0F" w:rsidRPr="009706E9">
        <w:t>sportatori occasionali/</w:t>
      </w:r>
      <w:r w:rsidRPr="009706E9">
        <w:t>non esportatori</w:t>
      </w:r>
      <w:r w:rsidR="00C706F5" w:rsidRPr="009706E9">
        <w:t xml:space="preserve">” </w:t>
      </w:r>
      <w:r w:rsidR="002A0EEE" w:rsidRPr="009706E9">
        <w:t>(98</w:t>
      </w:r>
      <w:r w:rsidR="002A0EEE">
        <w:t>,2% del fatturato derivante da vendite in Italia)</w:t>
      </w:r>
      <w:r>
        <w:t>.</w:t>
      </w:r>
    </w:p>
    <w:p w14:paraId="361D03E8" w14:textId="77777777" w:rsidR="00E325AE" w:rsidRDefault="00E325AE" w:rsidP="00075241"/>
    <w:p w14:paraId="31321F0C" w14:textId="77777777" w:rsidR="00E325AE" w:rsidRDefault="00E325AE" w:rsidP="00075241"/>
    <w:p w14:paraId="6B5641DE" w14:textId="72C18A42" w:rsidR="00537D0A" w:rsidRDefault="00E8513C" w:rsidP="00075241">
      <w:pPr>
        <w:rPr>
          <w:b/>
          <w:bCs/>
        </w:rPr>
      </w:pPr>
      <w:r>
        <w:rPr>
          <w:b/>
          <w:bCs/>
        </w:rPr>
        <w:t>Fig</w:t>
      </w:r>
      <w:r w:rsidR="00070980">
        <w:rPr>
          <w:b/>
          <w:bCs/>
        </w:rPr>
        <w:t>.</w:t>
      </w:r>
      <w:r w:rsidR="00537D0A" w:rsidRPr="00537D0A">
        <w:rPr>
          <w:b/>
          <w:bCs/>
        </w:rPr>
        <w:t xml:space="preserve"> 2</w:t>
      </w:r>
      <w:r w:rsidR="00537D0A">
        <w:rPr>
          <w:b/>
          <w:bCs/>
        </w:rPr>
        <w:t>.2</w:t>
      </w:r>
      <w:r w:rsidR="00070980">
        <w:rPr>
          <w:b/>
          <w:bCs/>
        </w:rPr>
        <w:t xml:space="preserve"> -</w:t>
      </w:r>
      <w:r w:rsidR="00E42839">
        <w:rPr>
          <w:b/>
          <w:bCs/>
        </w:rPr>
        <w:t xml:space="preserve"> </w:t>
      </w:r>
      <w:r w:rsidR="00072C88">
        <w:rPr>
          <w:b/>
          <w:bCs/>
        </w:rPr>
        <w:t>Media della percentuale di f</w:t>
      </w:r>
      <w:r w:rsidR="00E42839">
        <w:rPr>
          <w:b/>
          <w:bCs/>
        </w:rPr>
        <w:t xml:space="preserve">atturato per area geografica </w:t>
      </w:r>
      <w:r w:rsidR="00C669CB">
        <w:rPr>
          <w:b/>
          <w:bCs/>
        </w:rPr>
        <w:t xml:space="preserve">e per cluster </w:t>
      </w:r>
      <w:r w:rsidR="00E42839">
        <w:rPr>
          <w:b/>
          <w:bCs/>
        </w:rPr>
        <w:t>(valori percentuali)</w:t>
      </w:r>
    </w:p>
    <w:p w14:paraId="484544CA" w14:textId="021F0B66" w:rsidR="00CF2439" w:rsidRDefault="00CF2439" w:rsidP="00075241">
      <w:pPr>
        <w:rPr>
          <w:b/>
          <w:bCs/>
        </w:rPr>
      </w:pPr>
      <w:r>
        <w:rPr>
          <w:noProof/>
        </w:rPr>
        <w:drawing>
          <wp:inline distT="0" distB="0" distL="0" distR="0" wp14:anchorId="7C04F7EE" wp14:editId="65345880">
            <wp:extent cx="6120130" cy="2755127"/>
            <wp:effectExtent l="0" t="0" r="0" b="7620"/>
            <wp:docPr id="186876606" name="Grafico 1">
              <a:extLst xmlns:a="http://schemas.openxmlformats.org/drawingml/2006/main">
                <a:ext uri="{FF2B5EF4-FFF2-40B4-BE49-F238E27FC236}">
                  <a16:creationId xmlns:a16="http://schemas.microsoft.com/office/drawing/2014/main" id="{EB216762-31AF-C974-FA79-40ED70703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BDD43B" w14:textId="336DD32F" w:rsidR="00BB25B4" w:rsidRPr="008C687E" w:rsidRDefault="00BB25B4" w:rsidP="00BB25B4">
      <w:pPr>
        <w:rPr>
          <w:sz w:val="14"/>
          <w:szCs w:val="14"/>
        </w:rPr>
      </w:pPr>
      <w:r w:rsidRPr="008C687E">
        <w:rPr>
          <w:sz w:val="18"/>
          <w:szCs w:val="18"/>
        </w:rPr>
        <w:t>Fonte: Fondazione Nord Est 2023 (649 casi)</w:t>
      </w:r>
    </w:p>
    <w:p w14:paraId="1D6E11D2" w14:textId="77777777" w:rsidR="003C5E74" w:rsidRDefault="003C5E74" w:rsidP="00C92C49"/>
    <w:p w14:paraId="32F95ABD" w14:textId="193ECFA4" w:rsidR="003C0CF7" w:rsidRDefault="00C52C9C" w:rsidP="00C52C9C">
      <w:pPr>
        <w:jc w:val="both"/>
      </w:pPr>
      <w:r>
        <w:t xml:space="preserve">Quali sono le differenze nelle strategie di internazionalizzazione delle imprese che appartengono al </w:t>
      </w:r>
      <w:r w:rsidR="00E8513C">
        <w:t>cluster “Internazionalizzati a 360°” e</w:t>
      </w:r>
      <w:r>
        <w:t>d</w:t>
      </w:r>
      <w:r w:rsidR="00E8513C">
        <w:t xml:space="preserve"> “Esportatori </w:t>
      </w:r>
      <w:r w:rsidR="00716A85">
        <w:t>globali</w:t>
      </w:r>
      <w:r w:rsidR="00E8513C">
        <w:t>”</w:t>
      </w:r>
      <w:r>
        <w:t>?</w:t>
      </w:r>
      <w:r w:rsidR="000A3E53">
        <w:t xml:space="preserve"> </w:t>
      </w:r>
      <w:r w:rsidR="00B7713B">
        <w:t>Le differenze si colgono</w:t>
      </w:r>
      <w:r w:rsidR="000A3E53">
        <w:t xml:space="preserve"> osserva</w:t>
      </w:r>
      <w:r w:rsidR="00B7713B">
        <w:t>ndo</w:t>
      </w:r>
      <w:r w:rsidR="000A3E53">
        <w:t xml:space="preserve"> </w:t>
      </w:r>
      <w:r w:rsidR="00791203">
        <w:t>la seconda variabile utilizzata per descrivere la strategia</w:t>
      </w:r>
      <w:r w:rsidR="00874D34">
        <w:t xml:space="preserve"> di internazionalizzazione, ovvero la </w:t>
      </w:r>
      <w:r w:rsidR="00992951">
        <w:t>modalità scelta di internazion</w:t>
      </w:r>
      <w:r w:rsidR="00EE4BD6">
        <w:t>a</w:t>
      </w:r>
      <w:r w:rsidR="00992951">
        <w:t>lizzazione</w:t>
      </w:r>
      <w:r w:rsidR="0057367D">
        <w:t xml:space="preserve">. </w:t>
      </w:r>
      <w:r w:rsidR="00321FB4">
        <w:t>E</w:t>
      </w:r>
      <w:r w:rsidR="00321FB4" w:rsidRPr="009E3226">
        <w:t>sportazioni e importazioni sono</w:t>
      </w:r>
      <w:r w:rsidR="00104805">
        <w:t>, infatti,</w:t>
      </w:r>
      <w:r w:rsidR="00321FB4" w:rsidRPr="009E3226">
        <w:t xml:space="preserve"> due delle molteplici modalità che i percorsi di internazionalizzazione possono prevedere. Per mappa</w:t>
      </w:r>
      <w:r w:rsidR="00321FB4">
        <w:t>re</w:t>
      </w:r>
      <w:r w:rsidR="00321FB4" w:rsidRPr="009E3226">
        <w:t xml:space="preserve"> le scelte strategiche delle imprese </w:t>
      </w:r>
      <w:r w:rsidR="00321FB4">
        <w:t xml:space="preserve">di </w:t>
      </w:r>
      <w:r w:rsidR="00C01310">
        <w:t>Treviso, Padova, Venezia e Rovigo</w:t>
      </w:r>
      <w:r w:rsidR="00321FB4">
        <w:t xml:space="preserve"> </w:t>
      </w:r>
      <w:r w:rsidR="00321FB4" w:rsidRPr="009E3226">
        <w:t>si è scelto uno schema che prevede 1</w:t>
      </w:r>
      <w:r w:rsidR="00321FB4">
        <w:t>3</w:t>
      </w:r>
      <w:r w:rsidR="00321FB4" w:rsidRPr="009E3226">
        <w:t xml:space="preserve"> modalità distinte</w:t>
      </w:r>
      <w:r w:rsidR="00321FB4">
        <w:t xml:space="preserve"> più la voce “Nessun rapporto” (Fig. 2.</w:t>
      </w:r>
      <w:r w:rsidR="00B11A9D">
        <w:t>3</w:t>
      </w:r>
      <w:r w:rsidR="00321FB4">
        <w:t>)</w:t>
      </w:r>
      <w:r w:rsidR="00321FB4" w:rsidRPr="009E3226">
        <w:t>.</w:t>
      </w:r>
      <w:r w:rsidR="00B11A9D">
        <w:t xml:space="preserve"> </w:t>
      </w:r>
      <w:r w:rsidR="00321FB4" w:rsidRPr="009E3226">
        <w:t xml:space="preserve"> </w:t>
      </w:r>
    </w:p>
    <w:p w14:paraId="28E20524" w14:textId="77777777" w:rsidR="00885687" w:rsidRDefault="00885687" w:rsidP="00321FB4">
      <w:pPr>
        <w:jc w:val="both"/>
      </w:pPr>
    </w:p>
    <w:p w14:paraId="58F2AF6D" w14:textId="1DD5A25E" w:rsidR="002D3773" w:rsidRDefault="00885687" w:rsidP="00182C42">
      <w:pPr>
        <w:jc w:val="both"/>
      </w:pPr>
      <w:r>
        <w:t>In termini generali, l</w:t>
      </w:r>
      <w:r w:rsidR="00321FB4">
        <w:t xml:space="preserve">a modalità più diffusa è l’esportazione diretta al cliente finale (compresi grossisti e distributori locali), scelta quasi </w:t>
      </w:r>
      <w:r w:rsidR="00A7196C">
        <w:t>da</w:t>
      </w:r>
      <w:r w:rsidR="00321FB4">
        <w:t>l 60% delle imprese manifatturiere, segue l’importazione diretta di materiali e componenti (21,9%), la vendita occasionale (16,0%) e l’esportazione in regime di subfornitura (15,4%).</w:t>
      </w:r>
      <w:r w:rsidR="00146AA6">
        <w:t xml:space="preserve"> Poco meno di </w:t>
      </w:r>
      <w:r w:rsidR="00321FB4" w:rsidRPr="00146AA6">
        <w:t>u</w:t>
      </w:r>
      <w:r w:rsidR="00321FB4">
        <w:t>n’impresa su d</w:t>
      </w:r>
      <w:r w:rsidR="00146AA6">
        <w:t xml:space="preserve">ieci </w:t>
      </w:r>
      <w:r w:rsidR="00146AA6" w:rsidRPr="009706E9">
        <w:t>(9,6%)</w:t>
      </w:r>
      <w:r w:rsidR="00146AA6">
        <w:t xml:space="preserve"> </w:t>
      </w:r>
      <w:r w:rsidR="00321FB4">
        <w:t>sceglie una via decisamente più strutturata all’internazionalizzazione attraverso l’apertura di filiali commerciali e negozi, mentre il 7,2% ha aperto uffici di rappresentanza commerciale. Quasi il 5% delle imprese produce all’estero con proprie sedi e stabilimenti. Meno diffuse le formule che prevedono joint ventures con soggetti stranieri finalizzate sia alle vendite (1,7%) che alla produzione, come pure i contratti di licenza per la produzione all’estero.</w:t>
      </w:r>
    </w:p>
    <w:p w14:paraId="1E655E39" w14:textId="77777777" w:rsidR="00813897" w:rsidRDefault="00813897" w:rsidP="00182C42">
      <w:pPr>
        <w:jc w:val="both"/>
      </w:pPr>
    </w:p>
    <w:p w14:paraId="0A7C697B" w14:textId="77777777" w:rsidR="00263FC7" w:rsidRDefault="00263FC7" w:rsidP="00182C42">
      <w:pPr>
        <w:jc w:val="both"/>
      </w:pPr>
    </w:p>
    <w:p w14:paraId="75689207" w14:textId="77777777" w:rsidR="00E215B5" w:rsidRDefault="00E215B5" w:rsidP="00182C42">
      <w:pPr>
        <w:jc w:val="both"/>
      </w:pPr>
    </w:p>
    <w:p w14:paraId="529D956A" w14:textId="77777777" w:rsidR="00E215B5" w:rsidRDefault="00E215B5" w:rsidP="00182C42">
      <w:pPr>
        <w:jc w:val="both"/>
      </w:pPr>
    </w:p>
    <w:p w14:paraId="03F1BB6B" w14:textId="77777777" w:rsidR="00263FC7" w:rsidRDefault="00263FC7" w:rsidP="00182C42">
      <w:pPr>
        <w:jc w:val="both"/>
      </w:pPr>
    </w:p>
    <w:p w14:paraId="4F051337" w14:textId="77777777" w:rsidR="00263FC7" w:rsidRDefault="00263FC7" w:rsidP="00182C42">
      <w:pPr>
        <w:jc w:val="both"/>
      </w:pPr>
    </w:p>
    <w:p w14:paraId="0D72EB3C" w14:textId="77777777" w:rsidR="00263FC7" w:rsidRDefault="00263FC7" w:rsidP="00182C42">
      <w:pPr>
        <w:jc w:val="both"/>
      </w:pPr>
    </w:p>
    <w:p w14:paraId="68BB3F49" w14:textId="77777777" w:rsidR="00263FC7" w:rsidRDefault="00263FC7" w:rsidP="00182C42">
      <w:pPr>
        <w:jc w:val="both"/>
      </w:pPr>
    </w:p>
    <w:p w14:paraId="7A17BA1C" w14:textId="77777777" w:rsidR="006A6ACB" w:rsidRDefault="006A6ACB" w:rsidP="00182C42">
      <w:pPr>
        <w:jc w:val="both"/>
      </w:pPr>
    </w:p>
    <w:p w14:paraId="24D90747" w14:textId="77777777" w:rsidR="006A6ACB" w:rsidRDefault="006A6ACB" w:rsidP="00182C42">
      <w:pPr>
        <w:jc w:val="both"/>
      </w:pPr>
    </w:p>
    <w:p w14:paraId="3DAA6F44" w14:textId="77777777" w:rsidR="00182C42" w:rsidRDefault="00182C42" w:rsidP="00182C42">
      <w:pPr>
        <w:jc w:val="both"/>
        <w:rPr>
          <w:b/>
          <w:bCs/>
        </w:rPr>
      </w:pPr>
    </w:p>
    <w:p w14:paraId="2EBF96DB" w14:textId="556D30B7" w:rsidR="00321FB4" w:rsidRDefault="00321FB4" w:rsidP="00321FB4">
      <w:pPr>
        <w:rPr>
          <w:b/>
          <w:bCs/>
        </w:rPr>
      </w:pPr>
      <w:r w:rsidRPr="00FB1464">
        <w:rPr>
          <w:b/>
          <w:bCs/>
        </w:rPr>
        <w:lastRenderedPageBreak/>
        <w:t xml:space="preserve">Fig. </w:t>
      </w:r>
      <w:r>
        <w:rPr>
          <w:b/>
          <w:bCs/>
        </w:rPr>
        <w:t>2</w:t>
      </w:r>
      <w:r w:rsidR="00FE4AF6">
        <w:rPr>
          <w:b/>
          <w:bCs/>
        </w:rPr>
        <w:t>.</w:t>
      </w:r>
      <w:r w:rsidR="00E8513C">
        <w:rPr>
          <w:b/>
          <w:bCs/>
        </w:rPr>
        <w:t>3</w:t>
      </w:r>
      <w:r w:rsidRPr="00FB1464">
        <w:rPr>
          <w:b/>
          <w:bCs/>
        </w:rPr>
        <w:t xml:space="preserve"> – Distribuzione delle modalità di internazionalizzazione (val. %)</w:t>
      </w:r>
    </w:p>
    <w:p w14:paraId="2CEFDDD7" w14:textId="65869148" w:rsidR="00DE1986" w:rsidRPr="00FB1464" w:rsidRDefault="00DE1986" w:rsidP="00321FB4">
      <w:pPr>
        <w:rPr>
          <w:b/>
          <w:bCs/>
        </w:rPr>
      </w:pPr>
      <w:r>
        <w:rPr>
          <w:noProof/>
        </w:rPr>
        <w:drawing>
          <wp:inline distT="0" distB="0" distL="0" distR="0" wp14:anchorId="768069CB" wp14:editId="1E5A5823">
            <wp:extent cx="6124575" cy="2743200"/>
            <wp:effectExtent l="0" t="0" r="0" b="0"/>
            <wp:docPr id="849705924" name="Grafico 1">
              <a:extLst xmlns:a="http://schemas.openxmlformats.org/drawingml/2006/main">
                <a:ext uri="{FF2B5EF4-FFF2-40B4-BE49-F238E27FC236}">
                  <a16:creationId xmlns:a16="http://schemas.microsoft.com/office/drawing/2014/main" id="{57E94E3E-4A81-032D-FC07-137A7D341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098DB1" w14:textId="77777777" w:rsidR="00321FB4" w:rsidRPr="00FB1464" w:rsidRDefault="00321FB4" w:rsidP="00321FB4">
      <w:pPr>
        <w:rPr>
          <w:sz w:val="18"/>
          <w:szCs w:val="18"/>
        </w:rPr>
      </w:pPr>
      <w:r w:rsidRPr="00FB1464">
        <w:rPr>
          <w:sz w:val="18"/>
          <w:szCs w:val="18"/>
        </w:rPr>
        <w:t>Fonte: Fondazione Nord Est 2023 (</w:t>
      </w:r>
      <w:r>
        <w:rPr>
          <w:sz w:val="18"/>
          <w:szCs w:val="18"/>
        </w:rPr>
        <w:t>649</w:t>
      </w:r>
      <w:r w:rsidRPr="00FB1464">
        <w:rPr>
          <w:sz w:val="18"/>
          <w:szCs w:val="18"/>
        </w:rPr>
        <w:t xml:space="preserve"> casi)</w:t>
      </w:r>
    </w:p>
    <w:p w14:paraId="729C56A9" w14:textId="77777777" w:rsidR="00321FB4" w:rsidRDefault="00321FB4" w:rsidP="004C04C1">
      <w:pPr>
        <w:jc w:val="both"/>
      </w:pPr>
    </w:p>
    <w:p w14:paraId="6C1D157E" w14:textId="77777777" w:rsidR="00914682" w:rsidRDefault="00914682" w:rsidP="004C04C1">
      <w:pPr>
        <w:jc w:val="both"/>
      </w:pPr>
    </w:p>
    <w:p w14:paraId="42891854" w14:textId="49FA5033" w:rsidR="00914682" w:rsidRPr="00F02528" w:rsidRDefault="00914682" w:rsidP="00914682">
      <w:pPr>
        <w:jc w:val="both"/>
      </w:pPr>
      <w:r w:rsidRPr="00562B74">
        <w:t xml:space="preserve">Lo schema proposto da Nanut e </w:t>
      </w:r>
      <w:proofErr w:type="spellStart"/>
      <w:r w:rsidRPr="00562B74">
        <w:t>Tracogna</w:t>
      </w:r>
      <w:proofErr w:type="spellEnd"/>
      <w:r w:rsidRPr="00562B74">
        <w:t xml:space="preserve"> (2011) può essere utilizzato per sviluppare una prima interpretazione dei risultati che riguardano la modalità di internazionalizzazione delle imprese</w:t>
      </w:r>
      <w:r w:rsidR="00E8513C">
        <w:t>, c</w:t>
      </w:r>
      <w:r w:rsidRPr="00562B74">
        <w:t>ome sottolineano i due autori</w:t>
      </w:r>
      <w:r w:rsidR="00E8513C">
        <w:t>:</w:t>
      </w:r>
      <w:r w:rsidRPr="00562B74">
        <w:t xml:space="preserve"> “Rispetto alla modalità </w:t>
      </w:r>
      <w:r w:rsidR="00E8513C">
        <w:t>di esportazione</w:t>
      </w:r>
      <w:r w:rsidRPr="00562B74">
        <w:t>, gli investimenti diretti richiedono un più elevato livello di impegno dal punto di vista finanziario, sono intrinsecamente meno reversibili, e sono anche meno flessibili rispetto a possibili fenomeni di instabilità politica dei paesi ospitanti e alle fluttuazioni delle condizioni di mercato. Per la sua semplicità e per il ridotto impegno richiesto, l’esportazione è stata così tradizionalmente considerata come il primo passo per l’entrata nei mercati internazionali, la “piattaforma” per future espansioni all’estero, specialmente nell’ottica delle PMI”.</w:t>
      </w:r>
      <w:r w:rsidR="000200FF" w:rsidRPr="00562B74">
        <w:t xml:space="preserve"> </w:t>
      </w:r>
      <w:r w:rsidRPr="00562B74">
        <w:t>I dati rilevati sembrano confermare tale argomentazione. Sono le imprese di dimensioni maggiori, quelle che possono accollarsi gli impegni finanziari importanti che una strategia articolata di internazionalizzazione richiede, ma che possono anche affrontare rischi più elevati, a scegliere strategie che implicano investimenti all’estero.</w:t>
      </w:r>
      <w:r w:rsidR="00562B74" w:rsidRPr="00562B74">
        <w:t xml:space="preserve"> </w:t>
      </w:r>
      <w:r w:rsidRPr="00562B74">
        <w:t xml:space="preserve">In termini generali, i risultati dell’indagine sulle modalità attraverso le quali le imprese </w:t>
      </w:r>
      <w:r w:rsidR="00C152BC">
        <w:t>venete</w:t>
      </w:r>
      <w:r w:rsidRPr="00562B74">
        <w:t xml:space="preserve"> organizzano la propria presenza all’estero appare coerente con il framework proposto da Nanut e </w:t>
      </w:r>
      <w:proofErr w:type="spellStart"/>
      <w:r w:rsidRPr="00562B74">
        <w:t>Tracogna</w:t>
      </w:r>
      <w:proofErr w:type="spellEnd"/>
      <w:r w:rsidRPr="00562B74">
        <w:t>.</w:t>
      </w:r>
    </w:p>
    <w:p w14:paraId="60FD1B34" w14:textId="77777777" w:rsidR="00A7196C" w:rsidRDefault="00A7196C" w:rsidP="004C04C1">
      <w:pPr>
        <w:jc w:val="both"/>
      </w:pPr>
    </w:p>
    <w:p w14:paraId="24A79C3F" w14:textId="3D2BF35F" w:rsidR="00DE21D4" w:rsidRDefault="00E215B5" w:rsidP="00DE21D4">
      <w:pPr>
        <w:jc w:val="both"/>
      </w:pPr>
      <w:r>
        <w:t xml:space="preserve">Tornando ai cluster la tabella 2.1 permette di approfondire le diverse strategie messe in atto dalle imprese. </w:t>
      </w:r>
      <w:r w:rsidR="00DE21D4">
        <w:t>Le imprese del cluster “</w:t>
      </w:r>
      <w:r w:rsidR="00593925">
        <w:t>Internazionalizzat</w:t>
      </w:r>
      <w:r w:rsidR="00146AA6">
        <w:t xml:space="preserve">i </w:t>
      </w:r>
      <w:r w:rsidR="00593925">
        <w:t>a 360°”</w:t>
      </w:r>
      <w:r w:rsidR="00DE21D4">
        <w:t xml:space="preserve"> adottano </w:t>
      </w:r>
      <w:r w:rsidR="00593925">
        <w:t xml:space="preserve">diverse </w:t>
      </w:r>
      <w:r w:rsidR="00DE21D4">
        <w:t xml:space="preserve">modalità di internazionalizzazione: oltre la metà delle imprese </w:t>
      </w:r>
      <w:r w:rsidR="00593925">
        <w:t>che appartengono a questo</w:t>
      </w:r>
      <w:r w:rsidR="00DE21D4">
        <w:t xml:space="preserve"> raggruppamento produce all’estero con proprie sedi e stabilimenti e oltre il 60% vende tramite proprie filiali o negozi. Il 30,8% produce all’estero tramite accordi o contratti con imprese locali e la stessa quota di imprese dichiara di avere uffici di rappresentanza commerciale, mentre il 28,2% ha creato delle joint ventures. </w:t>
      </w:r>
      <w:r w:rsidR="00DE21D4" w:rsidRPr="00E42105">
        <w:t>Vi è da segnalare che più di un’impresa su tre all’interno di questo cluster vende all’estero solo occasionalmente</w:t>
      </w:r>
      <w:r w:rsidR="00DE21D4">
        <w:t xml:space="preserve"> ma questo valore è da leggere in complemento al numero di imprese con stabilimenti o filiali all’estero, le quali permettono di produrre e vendere direttamente in quei mercati, senza il passaggio per l’export dall’Italia. Per quanto riguarda l’import anche in questo caso un’impresa su due (51,3%) dichiara di importare materiali e componenti. Non è particolarmente elevat</w:t>
      </w:r>
      <w:r w:rsidR="00146AA6">
        <w:t xml:space="preserve">a </w:t>
      </w:r>
      <w:r w:rsidR="00DE21D4">
        <w:t>la quota di imprese che esportano in subfornitura.</w:t>
      </w:r>
    </w:p>
    <w:p w14:paraId="7044FE61" w14:textId="4D21D648" w:rsidR="00E215B5" w:rsidRDefault="00E215B5" w:rsidP="00E215B5">
      <w:pPr>
        <w:jc w:val="both"/>
      </w:pPr>
    </w:p>
    <w:p w14:paraId="036B0F6B" w14:textId="75BE00AB" w:rsidR="00992951" w:rsidRDefault="00070980" w:rsidP="00992951">
      <w:pPr>
        <w:rPr>
          <w:b/>
          <w:bCs/>
        </w:rPr>
      </w:pPr>
      <w:r>
        <w:rPr>
          <w:b/>
          <w:bCs/>
        </w:rPr>
        <w:t>Tab.</w:t>
      </w:r>
      <w:r w:rsidR="00992951" w:rsidRPr="00FB1464">
        <w:rPr>
          <w:b/>
          <w:bCs/>
        </w:rPr>
        <w:t xml:space="preserve"> </w:t>
      </w:r>
      <w:r w:rsidR="00992951">
        <w:rPr>
          <w:b/>
          <w:bCs/>
        </w:rPr>
        <w:t>2.</w:t>
      </w:r>
      <w:r w:rsidR="00E8513C">
        <w:rPr>
          <w:b/>
          <w:bCs/>
        </w:rPr>
        <w:t>1</w:t>
      </w:r>
      <w:r w:rsidR="00992951" w:rsidRPr="00FB1464">
        <w:rPr>
          <w:b/>
          <w:bCs/>
        </w:rPr>
        <w:t xml:space="preserve"> - Distribuzione delle modalità di internazionalizzazione per </w:t>
      </w:r>
      <w:r w:rsidR="00992951">
        <w:rPr>
          <w:b/>
          <w:bCs/>
        </w:rPr>
        <w:t>cluster</w:t>
      </w:r>
      <w:r w:rsidR="00992951" w:rsidRPr="00FB1464">
        <w:rPr>
          <w:b/>
          <w:bCs/>
        </w:rPr>
        <w:t xml:space="preserve"> (val. %)</w:t>
      </w:r>
    </w:p>
    <w:tbl>
      <w:tblPr>
        <w:tblW w:w="5000" w:type="pct"/>
        <w:tblLayout w:type="fixed"/>
        <w:tblCellMar>
          <w:left w:w="70" w:type="dxa"/>
          <w:right w:w="70" w:type="dxa"/>
        </w:tblCellMar>
        <w:tblLook w:val="04A0" w:firstRow="1" w:lastRow="0" w:firstColumn="1" w:lastColumn="0" w:noHBand="0" w:noVBand="1"/>
      </w:tblPr>
      <w:tblGrid>
        <w:gridCol w:w="3829"/>
        <w:gridCol w:w="1161"/>
        <w:gridCol w:w="1162"/>
        <w:gridCol w:w="1162"/>
        <w:gridCol w:w="1162"/>
        <w:gridCol w:w="1162"/>
      </w:tblGrid>
      <w:tr w:rsidR="00A65805" w:rsidRPr="006613BC" w14:paraId="58AEAC46" w14:textId="77777777" w:rsidTr="006613BC">
        <w:trPr>
          <w:trHeight w:val="1056"/>
        </w:trPr>
        <w:tc>
          <w:tcPr>
            <w:tcW w:w="1986" w:type="pct"/>
            <w:tcBorders>
              <w:top w:val="nil"/>
              <w:left w:val="nil"/>
              <w:bottom w:val="nil"/>
              <w:right w:val="nil"/>
            </w:tcBorders>
            <w:shd w:val="clear" w:color="auto" w:fill="auto"/>
            <w:vAlign w:val="center"/>
            <w:hideMark/>
          </w:tcPr>
          <w:p w14:paraId="36940BD7" w14:textId="77777777" w:rsidR="00A65805" w:rsidRPr="006613BC" w:rsidRDefault="00A65805" w:rsidP="00A65805">
            <w:pPr>
              <w:spacing w:line="240" w:lineRule="auto"/>
              <w:rPr>
                <w:rFonts w:ascii="Arial" w:eastAsia="Times New Roman" w:hAnsi="Arial" w:cs="Arial"/>
                <w:b/>
                <w:bCs/>
                <w:color w:val="000000"/>
                <w:kern w:val="0"/>
                <w:sz w:val="16"/>
                <w:szCs w:val="16"/>
                <w:lang w:eastAsia="it-IT"/>
                <w14:ligatures w14:val="none"/>
              </w:rPr>
            </w:pPr>
            <w:r w:rsidRPr="006613BC">
              <w:rPr>
                <w:rFonts w:ascii="Arial" w:eastAsia="Times New Roman" w:hAnsi="Arial" w:cs="Arial"/>
                <w:b/>
                <w:bCs/>
                <w:color w:val="000000"/>
                <w:kern w:val="0"/>
                <w:sz w:val="16"/>
                <w:szCs w:val="16"/>
                <w:lang w:eastAsia="it-IT"/>
                <w14:ligatures w14:val="none"/>
              </w:rPr>
              <w:lastRenderedPageBreak/>
              <w:t>Cluster/modalità di internazionalizzazione</w:t>
            </w:r>
          </w:p>
        </w:tc>
        <w:tc>
          <w:tcPr>
            <w:tcW w:w="602" w:type="pct"/>
            <w:tcBorders>
              <w:top w:val="nil"/>
              <w:left w:val="nil"/>
              <w:bottom w:val="nil"/>
              <w:right w:val="nil"/>
            </w:tcBorders>
            <w:shd w:val="clear" w:color="auto" w:fill="auto"/>
            <w:vAlign w:val="center"/>
            <w:hideMark/>
          </w:tcPr>
          <w:p w14:paraId="6896FD89" w14:textId="479DB0CE" w:rsidR="00A65805" w:rsidRPr="006613BC" w:rsidRDefault="00A65805" w:rsidP="00A65805">
            <w:pPr>
              <w:spacing w:line="240" w:lineRule="auto"/>
              <w:jc w:val="center"/>
              <w:rPr>
                <w:rFonts w:ascii="Arial" w:eastAsia="Times New Roman" w:hAnsi="Arial" w:cs="Arial"/>
                <w:b/>
                <w:bCs/>
                <w:color w:val="000000"/>
                <w:kern w:val="0"/>
                <w:sz w:val="16"/>
                <w:szCs w:val="16"/>
                <w:lang w:eastAsia="it-IT"/>
                <w14:ligatures w14:val="none"/>
              </w:rPr>
            </w:pPr>
            <w:proofErr w:type="spellStart"/>
            <w:r w:rsidRPr="009706E9">
              <w:rPr>
                <w:rFonts w:ascii="Arial" w:eastAsia="Times New Roman" w:hAnsi="Arial" w:cs="Arial"/>
                <w:b/>
                <w:bCs/>
                <w:color w:val="000000"/>
                <w:kern w:val="0"/>
                <w:sz w:val="16"/>
                <w:szCs w:val="16"/>
                <w:lang w:eastAsia="it-IT"/>
                <w14:ligatures w14:val="none"/>
              </w:rPr>
              <w:t>Int</w:t>
            </w:r>
            <w:r w:rsidR="001A6439" w:rsidRPr="009706E9">
              <w:rPr>
                <w:rFonts w:ascii="Arial" w:eastAsia="Times New Roman" w:hAnsi="Arial" w:cs="Arial"/>
                <w:b/>
                <w:bCs/>
                <w:color w:val="000000"/>
                <w:kern w:val="0"/>
                <w:sz w:val="16"/>
                <w:szCs w:val="16"/>
                <w:lang w:eastAsia="it-IT"/>
                <w14:ligatures w14:val="none"/>
              </w:rPr>
              <w:t>ern</w:t>
            </w:r>
            <w:r w:rsidR="003E44A9" w:rsidRPr="009706E9">
              <w:rPr>
                <w:rFonts w:ascii="Arial" w:eastAsia="Times New Roman" w:hAnsi="Arial" w:cs="Arial"/>
                <w:b/>
                <w:bCs/>
                <w:color w:val="000000"/>
                <w:kern w:val="0"/>
                <w:sz w:val="16"/>
                <w:szCs w:val="16"/>
                <w:lang w:eastAsia="it-IT"/>
                <w14:ligatures w14:val="none"/>
              </w:rPr>
              <w:t>aziona</w:t>
            </w:r>
            <w:proofErr w:type="spellEnd"/>
            <w:r w:rsidR="003E44A9" w:rsidRPr="009706E9">
              <w:rPr>
                <w:rFonts w:ascii="Arial" w:eastAsia="Times New Roman" w:hAnsi="Arial" w:cs="Arial"/>
                <w:b/>
                <w:bCs/>
                <w:color w:val="000000"/>
                <w:kern w:val="0"/>
                <w:sz w:val="16"/>
                <w:szCs w:val="16"/>
                <w:lang w:eastAsia="it-IT"/>
                <w14:ligatures w14:val="none"/>
              </w:rPr>
              <w:t xml:space="preserve">-lizzati </w:t>
            </w:r>
            <w:r w:rsidRPr="009706E9">
              <w:rPr>
                <w:rFonts w:ascii="Arial" w:eastAsia="Times New Roman" w:hAnsi="Arial" w:cs="Arial"/>
                <w:b/>
                <w:bCs/>
                <w:color w:val="000000"/>
                <w:kern w:val="0"/>
                <w:sz w:val="16"/>
                <w:szCs w:val="16"/>
                <w:lang w:eastAsia="it-IT"/>
                <w14:ligatures w14:val="none"/>
              </w:rPr>
              <w:t>a</w:t>
            </w:r>
            <w:r w:rsidRPr="006613BC">
              <w:rPr>
                <w:rFonts w:ascii="Arial" w:eastAsia="Times New Roman" w:hAnsi="Arial" w:cs="Arial"/>
                <w:b/>
                <w:bCs/>
                <w:color w:val="000000"/>
                <w:kern w:val="0"/>
                <w:sz w:val="16"/>
                <w:szCs w:val="16"/>
                <w:lang w:eastAsia="it-IT"/>
                <w14:ligatures w14:val="none"/>
              </w:rPr>
              <w:t xml:space="preserve"> 360°</w:t>
            </w:r>
          </w:p>
        </w:tc>
        <w:tc>
          <w:tcPr>
            <w:tcW w:w="603" w:type="pct"/>
            <w:tcBorders>
              <w:top w:val="nil"/>
              <w:left w:val="nil"/>
              <w:bottom w:val="nil"/>
              <w:right w:val="nil"/>
            </w:tcBorders>
            <w:shd w:val="clear" w:color="auto" w:fill="auto"/>
            <w:vAlign w:val="center"/>
            <w:hideMark/>
          </w:tcPr>
          <w:p w14:paraId="03896716" w14:textId="7B5B1484" w:rsidR="00A65805" w:rsidRPr="006613BC" w:rsidRDefault="00A65805" w:rsidP="00A65805">
            <w:pPr>
              <w:spacing w:line="240" w:lineRule="auto"/>
              <w:jc w:val="center"/>
              <w:rPr>
                <w:rFonts w:ascii="Arial" w:eastAsia="Times New Roman" w:hAnsi="Arial" w:cs="Arial"/>
                <w:b/>
                <w:bCs/>
                <w:color w:val="000000"/>
                <w:kern w:val="0"/>
                <w:sz w:val="16"/>
                <w:szCs w:val="16"/>
                <w:lang w:eastAsia="it-IT"/>
                <w14:ligatures w14:val="none"/>
              </w:rPr>
            </w:pPr>
            <w:r w:rsidRPr="00416F77">
              <w:rPr>
                <w:rFonts w:ascii="Arial" w:eastAsia="Times New Roman" w:hAnsi="Arial" w:cs="Arial"/>
                <w:b/>
                <w:bCs/>
                <w:color w:val="000000"/>
                <w:kern w:val="0"/>
                <w:sz w:val="16"/>
                <w:szCs w:val="16"/>
                <w:lang w:eastAsia="it-IT"/>
                <w14:ligatures w14:val="none"/>
              </w:rPr>
              <w:t>Esp</w:t>
            </w:r>
            <w:r>
              <w:rPr>
                <w:rFonts w:ascii="Arial" w:eastAsia="Times New Roman" w:hAnsi="Arial" w:cs="Arial"/>
                <w:b/>
                <w:bCs/>
                <w:color w:val="000000"/>
                <w:kern w:val="0"/>
                <w:sz w:val="16"/>
                <w:szCs w:val="16"/>
                <w:lang w:eastAsia="it-IT"/>
                <w14:ligatures w14:val="none"/>
              </w:rPr>
              <w:t>ortatori g</w:t>
            </w:r>
            <w:r w:rsidRPr="00416F77">
              <w:rPr>
                <w:rFonts w:ascii="Arial" w:eastAsia="Times New Roman" w:hAnsi="Arial" w:cs="Arial"/>
                <w:b/>
                <w:bCs/>
                <w:color w:val="000000"/>
                <w:kern w:val="0"/>
                <w:sz w:val="16"/>
                <w:szCs w:val="16"/>
                <w:lang w:eastAsia="it-IT"/>
                <w14:ligatures w14:val="none"/>
              </w:rPr>
              <w:t>lobali</w:t>
            </w:r>
          </w:p>
        </w:tc>
        <w:tc>
          <w:tcPr>
            <w:tcW w:w="603" w:type="pct"/>
            <w:tcBorders>
              <w:top w:val="nil"/>
              <w:left w:val="nil"/>
              <w:bottom w:val="nil"/>
              <w:right w:val="nil"/>
            </w:tcBorders>
            <w:shd w:val="clear" w:color="auto" w:fill="auto"/>
            <w:vAlign w:val="center"/>
            <w:hideMark/>
          </w:tcPr>
          <w:p w14:paraId="49446333" w14:textId="70E52A5F" w:rsidR="00A65805" w:rsidRPr="006613BC" w:rsidRDefault="00A65805" w:rsidP="00A65805">
            <w:pPr>
              <w:spacing w:line="240" w:lineRule="auto"/>
              <w:jc w:val="center"/>
              <w:rPr>
                <w:rFonts w:ascii="Arial" w:eastAsia="Times New Roman" w:hAnsi="Arial" w:cs="Arial"/>
                <w:b/>
                <w:bCs/>
                <w:color w:val="000000"/>
                <w:kern w:val="0"/>
                <w:sz w:val="16"/>
                <w:szCs w:val="16"/>
                <w:lang w:eastAsia="it-IT"/>
                <w14:ligatures w14:val="none"/>
              </w:rPr>
            </w:pPr>
            <w:r w:rsidRPr="002B3C1B">
              <w:rPr>
                <w:rFonts w:ascii="Arial" w:eastAsia="Times New Roman" w:hAnsi="Arial" w:cs="Arial"/>
                <w:b/>
                <w:bCs/>
                <w:color w:val="000000"/>
                <w:kern w:val="0"/>
                <w:sz w:val="16"/>
                <w:szCs w:val="16"/>
                <w:lang w:eastAsia="it-IT"/>
                <w14:ligatures w14:val="none"/>
              </w:rPr>
              <w:t>Esportatori attenti al mercato domestico</w:t>
            </w:r>
          </w:p>
        </w:tc>
        <w:tc>
          <w:tcPr>
            <w:tcW w:w="603" w:type="pct"/>
            <w:tcBorders>
              <w:top w:val="nil"/>
              <w:left w:val="nil"/>
              <w:bottom w:val="nil"/>
              <w:right w:val="nil"/>
            </w:tcBorders>
            <w:shd w:val="clear" w:color="auto" w:fill="auto"/>
            <w:vAlign w:val="center"/>
            <w:hideMark/>
          </w:tcPr>
          <w:p w14:paraId="5F9E7BCF" w14:textId="0690EE55" w:rsidR="00A65805" w:rsidRPr="006613BC" w:rsidRDefault="00A65805" w:rsidP="00A65805">
            <w:pPr>
              <w:spacing w:line="240" w:lineRule="auto"/>
              <w:jc w:val="center"/>
              <w:rPr>
                <w:rFonts w:ascii="Arial" w:eastAsia="Times New Roman" w:hAnsi="Arial" w:cs="Arial"/>
                <w:b/>
                <w:bCs/>
                <w:color w:val="000000"/>
                <w:kern w:val="0"/>
                <w:sz w:val="16"/>
                <w:szCs w:val="16"/>
                <w:lang w:eastAsia="it-IT"/>
                <w14:ligatures w14:val="none"/>
              </w:rPr>
            </w:pPr>
            <w:r w:rsidRPr="006613BC">
              <w:rPr>
                <w:rFonts w:ascii="Arial" w:eastAsia="Times New Roman" w:hAnsi="Arial" w:cs="Arial"/>
                <w:b/>
                <w:bCs/>
                <w:color w:val="000000"/>
                <w:kern w:val="0"/>
                <w:sz w:val="16"/>
                <w:szCs w:val="16"/>
                <w:lang w:eastAsia="it-IT"/>
                <w14:ligatures w14:val="none"/>
              </w:rPr>
              <w:t>Esportatori occasionali</w:t>
            </w:r>
            <w:r w:rsidR="001A6439">
              <w:rPr>
                <w:rFonts w:ascii="Arial" w:eastAsia="Times New Roman" w:hAnsi="Arial" w:cs="Arial"/>
                <w:b/>
                <w:bCs/>
                <w:color w:val="000000"/>
                <w:kern w:val="0"/>
                <w:sz w:val="16"/>
                <w:szCs w:val="16"/>
                <w:lang w:eastAsia="it-IT"/>
                <w14:ligatures w14:val="none"/>
              </w:rPr>
              <w:t>/</w:t>
            </w:r>
            <w:r>
              <w:rPr>
                <w:rFonts w:ascii="Arial" w:eastAsia="Times New Roman" w:hAnsi="Arial" w:cs="Arial"/>
                <w:b/>
                <w:bCs/>
                <w:color w:val="000000"/>
                <w:kern w:val="0"/>
                <w:sz w:val="16"/>
                <w:szCs w:val="16"/>
                <w:lang w:eastAsia="it-IT"/>
                <w14:ligatures w14:val="none"/>
              </w:rPr>
              <w:t xml:space="preserve"> </w:t>
            </w:r>
            <w:r w:rsidRPr="006613BC">
              <w:rPr>
                <w:rFonts w:ascii="Arial" w:eastAsia="Times New Roman" w:hAnsi="Arial" w:cs="Arial"/>
                <w:b/>
                <w:bCs/>
                <w:color w:val="000000"/>
                <w:kern w:val="0"/>
                <w:sz w:val="16"/>
                <w:szCs w:val="16"/>
                <w:lang w:eastAsia="it-IT"/>
                <w14:ligatures w14:val="none"/>
              </w:rPr>
              <w:t>non esportatori</w:t>
            </w:r>
          </w:p>
        </w:tc>
        <w:tc>
          <w:tcPr>
            <w:tcW w:w="603" w:type="pct"/>
            <w:tcBorders>
              <w:top w:val="nil"/>
              <w:left w:val="nil"/>
              <w:bottom w:val="nil"/>
              <w:right w:val="nil"/>
            </w:tcBorders>
            <w:shd w:val="clear" w:color="auto" w:fill="auto"/>
            <w:vAlign w:val="center"/>
            <w:hideMark/>
          </w:tcPr>
          <w:p w14:paraId="5E009DB2" w14:textId="77777777" w:rsidR="00A65805" w:rsidRPr="006613BC" w:rsidRDefault="00A65805" w:rsidP="00A65805">
            <w:pPr>
              <w:spacing w:line="240" w:lineRule="auto"/>
              <w:jc w:val="center"/>
              <w:rPr>
                <w:rFonts w:ascii="Arial" w:eastAsia="Times New Roman" w:hAnsi="Arial" w:cs="Arial"/>
                <w:b/>
                <w:bCs/>
                <w:color w:val="000000"/>
                <w:kern w:val="0"/>
                <w:sz w:val="16"/>
                <w:szCs w:val="16"/>
                <w:lang w:eastAsia="it-IT"/>
                <w14:ligatures w14:val="none"/>
              </w:rPr>
            </w:pPr>
            <w:r w:rsidRPr="006613BC">
              <w:rPr>
                <w:rFonts w:ascii="Arial" w:eastAsia="Times New Roman" w:hAnsi="Arial" w:cs="Arial"/>
                <w:b/>
                <w:bCs/>
                <w:color w:val="000000"/>
                <w:kern w:val="0"/>
                <w:sz w:val="16"/>
                <w:szCs w:val="16"/>
                <w:lang w:eastAsia="it-IT"/>
                <w14:ligatures w14:val="none"/>
              </w:rPr>
              <w:t>Valore medio</w:t>
            </w:r>
          </w:p>
        </w:tc>
      </w:tr>
      <w:tr w:rsidR="00A65805" w:rsidRPr="006613BC" w14:paraId="7F93E433" w14:textId="77777777" w:rsidTr="006613BC">
        <w:trPr>
          <w:trHeight w:val="288"/>
        </w:trPr>
        <w:tc>
          <w:tcPr>
            <w:tcW w:w="1986" w:type="pct"/>
            <w:tcBorders>
              <w:top w:val="nil"/>
              <w:left w:val="nil"/>
              <w:bottom w:val="nil"/>
              <w:right w:val="nil"/>
            </w:tcBorders>
            <w:shd w:val="clear" w:color="auto" w:fill="auto"/>
            <w:noWrap/>
            <w:vAlign w:val="center"/>
            <w:hideMark/>
          </w:tcPr>
          <w:p w14:paraId="4013E7E0"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Esportazioni dirette al cliente finale</w:t>
            </w:r>
          </w:p>
        </w:tc>
        <w:tc>
          <w:tcPr>
            <w:tcW w:w="602" w:type="pct"/>
            <w:tcBorders>
              <w:top w:val="nil"/>
              <w:left w:val="nil"/>
              <w:bottom w:val="nil"/>
              <w:right w:val="nil"/>
            </w:tcBorders>
            <w:shd w:val="clear" w:color="000000" w:fill="72C588"/>
            <w:noWrap/>
            <w:vAlign w:val="center"/>
            <w:hideMark/>
          </w:tcPr>
          <w:p w14:paraId="56B34C2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74,4</w:t>
            </w:r>
          </w:p>
        </w:tc>
        <w:tc>
          <w:tcPr>
            <w:tcW w:w="603" w:type="pct"/>
            <w:tcBorders>
              <w:top w:val="nil"/>
              <w:left w:val="nil"/>
              <w:bottom w:val="nil"/>
              <w:right w:val="nil"/>
            </w:tcBorders>
            <w:shd w:val="clear" w:color="000000" w:fill="63BE7B"/>
            <w:noWrap/>
            <w:vAlign w:val="center"/>
            <w:hideMark/>
          </w:tcPr>
          <w:p w14:paraId="377E1EF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82,4</w:t>
            </w:r>
          </w:p>
        </w:tc>
        <w:tc>
          <w:tcPr>
            <w:tcW w:w="603" w:type="pct"/>
            <w:tcBorders>
              <w:top w:val="nil"/>
              <w:left w:val="nil"/>
              <w:bottom w:val="nil"/>
              <w:right w:val="nil"/>
            </w:tcBorders>
            <w:shd w:val="clear" w:color="000000" w:fill="71C487"/>
            <w:noWrap/>
            <w:vAlign w:val="center"/>
            <w:hideMark/>
          </w:tcPr>
          <w:p w14:paraId="7C776BB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75,3</w:t>
            </w:r>
          </w:p>
        </w:tc>
        <w:tc>
          <w:tcPr>
            <w:tcW w:w="603" w:type="pct"/>
            <w:tcBorders>
              <w:top w:val="nil"/>
              <w:left w:val="nil"/>
              <w:bottom w:val="nil"/>
              <w:right w:val="nil"/>
            </w:tcBorders>
            <w:shd w:val="clear" w:color="000000" w:fill="FAFCFE"/>
            <w:noWrap/>
            <w:vAlign w:val="center"/>
            <w:hideMark/>
          </w:tcPr>
          <w:p w14:paraId="0C6BE782"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1,2</w:t>
            </w:r>
          </w:p>
        </w:tc>
        <w:tc>
          <w:tcPr>
            <w:tcW w:w="603" w:type="pct"/>
            <w:tcBorders>
              <w:top w:val="nil"/>
              <w:left w:val="nil"/>
              <w:bottom w:val="nil"/>
              <w:right w:val="nil"/>
            </w:tcBorders>
            <w:shd w:val="clear" w:color="auto" w:fill="auto"/>
            <w:noWrap/>
            <w:vAlign w:val="center"/>
            <w:hideMark/>
          </w:tcPr>
          <w:p w14:paraId="229D174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58,2</w:t>
            </w:r>
          </w:p>
        </w:tc>
      </w:tr>
      <w:tr w:rsidR="00A65805" w:rsidRPr="006613BC" w14:paraId="38E55801" w14:textId="77777777" w:rsidTr="006613BC">
        <w:trPr>
          <w:trHeight w:val="288"/>
        </w:trPr>
        <w:tc>
          <w:tcPr>
            <w:tcW w:w="1986" w:type="pct"/>
            <w:tcBorders>
              <w:top w:val="nil"/>
              <w:left w:val="nil"/>
              <w:bottom w:val="nil"/>
              <w:right w:val="nil"/>
            </w:tcBorders>
            <w:shd w:val="clear" w:color="auto" w:fill="auto"/>
            <w:noWrap/>
            <w:vAlign w:val="center"/>
            <w:hideMark/>
          </w:tcPr>
          <w:p w14:paraId="67A662B3"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Importazioni di materiali e componenti</w:t>
            </w:r>
          </w:p>
        </w:tc>
        <w:tc>
          <w:tcPr>
            <w:tcW w:w="602" w:type="pct"/>
            <w:tcBorders>
              <w:top w:val="nil"/>
              <w:left w:val="nil"/>
              <w:bottom w:val="nil"/>
              <w:right w:val="nil"/>
            </w:tcBorders>
            <w:shd w:val="clear" w:color="000000" w:fill="9DD6AD"/>
            <w:noWrap/>
            <w:vAlign w:val="center"/>
            <w:hideMark/>
          </w:tcPr>
          <w:p w14:paraId="752555B3"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51,3</w:t>
            </w:r>
          </w:p>
        </w:tc>
        <w:tc>
          <w:tcPr>
            <w:tcW w:w="603" w:type="pct"/>
            <w:tcBorders>
              <w:top w:val="nil"/>
              <w:left w:val="nil"/>
              <w:bottom w:val="nil"/>
              <w:right w:val="nil"/>
            </w:tcBorders>
            <w:shd w:val="clear" w:color="000000" w:fill="CBE8D5"/>
            <w:noWrap/>
            <w:vAlign w:val="center"/>
            <w:hideMark/>
          </w:tcPr>
          <w:p w14:paraId="3455AAB7"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26,7</w:t>
            </w:r>
          </w:p>
        </w:tc>
        <w:tc>
          <w:tcPr>
            <w:tcW w:w="603" w:type="pct"/>
            <w:tcBorders>
              <w:top w:val="nil"/>
              <w:left w:val="nil"/>
              <w:bottom w:val="nil"/>
              <w:right w:val="nil"/>
            </w:tcBorders>
            <w:shd w:val="clear" w:color="000000" w:fill="DAEEE2"/>
            <w:noWrap/>
            <w:vAlign w:val="center"/>
            <w:hideMark/>
          </w:tcPr>
          <w:p w14:paraId="5582FD87"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18,6</w:t>
            </w:r>
          </w:p>
        </w:tc>
        <w:tc>
          <w:tcPr>
            <w:tcW w:w="603" w:type="pct"/>
            <w:tcBorders>
              <w:top w:val="nil"/>
              <w:left w:val="nil"/>
              <w:bottom w:val="nil"/>
              <w:right w:val="nil"/>
            </w:tcBorders>
            <w:shd w:val="clear" w:color="000000" w:fill="E3F2EA"/>
            <w:noWrap/>
            <w:vAlign w:val="center"/>
            <w:hideMark/>
          </w:tcPr>
          <w:p w14:paraId="1D45161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13,6</w:t>
            </w:r>
          </w:p>
        </w:tc>
        <w:tc>
          <w:tcPr>
            <w:tcW w:w="603" w:type="pct"/>
            <w:tcBorders>
              <w:top w:val="nil"/>
              <w:left w:val="nil"/>
              <w:bottom w:val="nil"/>
              <w:right w:val="nil"/>
            </w:tcBorders>
            <w:shd w:val="clear" w:color="auto" w:fill="auto"/>
            <w:noWrap/>
            <w:vAlign w:val="center"/>
            <w:hideMark/>
          </w:tcPr>
          <w:p w14:paraId="7E6D0EF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21,9</w:t>
            </w:r>
          </w:p>
        </w:tc>
      </w:tr>
      <w:tr w:rsidR="00A65805" w:rsidRPr="006613BC" w14:paraId="7ECCDFE8" w14:textId="77777777" w:rsidTr="006613BC">
        <w:trPr>
          <w:trHeight w:val="288"/>
        </w:trPr>
        <w:tc>
          <w:tcPr>
            <w:tcW w:w="1986" w:type="pct"/>
            <w:tcBorders>
              <w:top w:val="nil"/>
              <w:left w:val="nil"/>
              <w:bottom w:val="nil"/>
              <w:right w:val="nil"/>
            </w:tcBorders>
            <w:shd w:val="clear" w:color="auto" w:fill="auto"/>
            <w:noWrap/>
            <w:vAlign w:val="center"/>
            <w:hideMark/>
          </w:tcPr>
          <w:p w14:paraId="516DF282"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Vendita occasionale</w:t>
            </w:r>
          </w:p>
        </w:tc>
        <w:tc>
          <w:tcPr>
            <w:tcW w:w="602" w:type="pct"/>
            <w:tcBorders>
              <w:top w:val="nil"/>
              <w:left w:val="nil"/>
              <w:bottom w:val="nil"/>
              <w:right w:val="nil"/>
            </w:tcBorders>
            <w:shd w:val="clear" w:color="000000" w:fill="BAE1C6"/>
            <w:noWrap/>
            <w:vAlign w:val="center"/>
            <w:hideMark/>
          </w:tcPr>
          <w:p w14:paraId="01FD3E6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35,9</w:t>
            </w:r>
          </w:p>
        </w:tc>
        <w:tc>
          <w:tcPr>
            <w:tcW w:w="603" w:type="pct"/>
            <w:tcBorders>
              <w:top w:val="nil"/>
              <w:left w:val="nil"/>
              <w:bottom w:val="nil"/>
              <w:right w:val="nil"/>
            </w:tcBorders>
            <w:shd w:val="clear" w:color="000000" w:fill="F5F9F9"/>
            <w:noWrap/>
            <w:vAlign w:val="center"/>
            <w:hideMark/>
          </w:tcPr>
          <w:p w14:paraId="6B4F6202"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4,3</w:t>
            </w:r>
          </w:p>
        </w:tc>
        <w:tc>
          <w:tcPr>
            <w:tcW w:w="603" w:type="pct"/>
            <w:tcBorders>
              <w:top w:val="nil"/>
              <w:left w:val="nil"/>
              <w:bottom w:val="nil"/>
              <w:right w:val="nil"/>
            </w:tcBorders>
            <w:shd w:val="clear" w:color="000000" w:fill="EAF5F0"/>
            <w:noWrap/>
            <w:vAlign w:val="center"/>
            <w:hideMark/>
          </w:tcPr>
          <w:p w14:paraId="5F6FE53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10</w:t>
            </w:r>
          </w:p>
        </w:tc>
        <w:tc>
          <w:tcPr>
            <w:tcW w:w="603" w:type="pct"/>
            <w:tcBorders>
              <w:top w:val="nil"/>
              <w:left w:val="nil"/>
              <w:bottom w:val="nil"/>
              <w:right w:val="nil"/>
            </w:tcBorders>
            <w:shd w:val="clear" w:color="000000" w:fill="BDE3C9"/>
            <w:noWrap/>
            <w:vAlign w:val="center"/>
            <w:hideMark/>
          </w:tcPr>
          <w:p w14:paraId="62B9042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34,3</w:t>
            </w:r>
          </w:p>
        </w:tc>
        <w:tc>
          <w:tcPr>
            <w:tcW w:w="603" w:type="pct"/>
            <w:tcBorders>
              <w:top w:val="nil"/>
              <w:left w:val="nil"/>
              <w:bottom w:val="nil"/>
              <w:right w:val="nil"/>
            </w:tcBorders>
            <w:shd w:val="clear" w:color="auto" w:fill="auto"/>
            <w:noWrap/>
            <w:vAlign w:val="center"/>
            <w:hideMark/>
          </w:tcPr>
          <w:p w14:paraId="6EE2686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16</w:t>
            </w:r>
          </w:p>
        </w:tc>
      </w:tr>
      <w:tr w:rsidR="00A65805" w:rsidRPr="006613BC" w14:paraId="5B5CF2CC" w14:textId="77777777" w:rsidTr="006613BC">
        <w:trPr>
          <w:trHeight w:val="288"/>
        </w:trPr>
        <w:tc>
          <w:tcPr>
            <w:tcW w:w="1986" w:type="pct"/>
            <w:tcBorders>
              <w:top w:val="nil"/>
              <w:left w:val="nil"/>
              <w:bottom w:val="nil"/>
              <w:right w:val="nil"/>
            </w:tcBorders>
            <w:shd w:val="clear" w:color="auto" w:fill="auto"/>
            <w:noWrap/>
            <w:vAlign w:val="center"/>
            <w:hideMark/>
          </w:tcPr>
          <w:p w14:paraId="14B6BE0C"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Esportazioni in regime di subfornitura</w:t>
            </w:r>
          </w:p>
        </w:tc>
        <w:tc>
          <w:tcPr>
            <w:tcW w:w="602" w:type="pct"/>
            <w:tcBorders>
              <w:top w:val="nil"/>
              <w:left w:val="nil"/>
              <w:bottom w:val="nil"/>
              <w:right w:val="nil"/>
            </w:tcBorders>
            <w:shd w:val="clear" w:color="000000" w:fill="E9F5EF"/>
            <w:noWrap/>
            <w:vAlign w:val="center"/>
            <w:hideMark/>
          </w:tcPr>
          <w:p w14:paraId="41A58217"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10,3</w:t>
            </w:r>
          </w:p>
        </w:tc>
        <w:tc>
          <w:tcPr>
            <w:tcW w:w="603" w:type="pct"/>
            <w:tcBorders>
              <w:top w:val="nil"/>
              <w:left w:val="nil"/>
              <w:bottom w:val="nil"/>
              <w:right w:val="nil"/>
            </w:tcBorders>
            <w:shd w:val="clear" w:color="000000" w:fill="DEF0E6"/>
            <w:noWrap/>
            <w:vAlign w:val="center"/>
            <w:hideMark/>
          </w:tcPr>
          <w:p w14:paraId="057C7AE2"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16,2</w:t>
            </w:r>
          </w:p>
        </w:tc>
        <w:tc>
          <w:tcPr>
            <w:tcW w:w="603" w:type="pct"/>
            <w:tcBorders>
              <w:top w:val="nil"/>
              <w:left w:val="nil"/>
              <w:bottom w:val="nil"/>
              <w:right w:val="nil"/>
            </w:tcBorders>
            <w:shd w:val="clear" w:color="000000" w:fill="D6EDDE"/>
            <w:noWrap/>
            <w:vAlign w:val="center"/>
            <w:hideMark/>
          </w:tcPr>
          <w:p w14:paraId="1382F15E"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20,8</w:t>
            </w:r>
          </w:p>
        </w:tc>
        <w:tc>
          <w:tcPr>
            <w:tcW w:w="603" w:type="pct"/>
            <w:tcBorders>
              <w:top w:val="nil"/>
              <w:left w:val="nil"/>
              <w:bottom w:val="nil"/>
              <w:right w:val="nil"/>
            </w:tcBorders>
            <w:shd w:val="clear" w:color="000000" w:fill="EDF6F2"/>
            <w:noWrap/>
            <w:vAlign w:val="center"/>
            <w:hideMark/>
          </w:tcPr>
          <w:p w14:paraId="21725EA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8,3</w:t>
            </w:r>
          </w:p>
        </w:tc>
        <w:tc>
          <w:tcPr>
            <w:tcW w:w="603" w:type="pct"/>
            <w:tcBorders>
              <w:top w:val="nil"/>
              <w:left w:val="nil"/>
              <w:bottom w:val="nil"/>
              <w:right w:val="nil"/>
            </w:tcBorders>
            <w:shd w:val="clear" w:color="auto" w:fill="auto"/>
            <w:noWrap/>
            <w:vAlign w:val="center"/>
            <w:hideMark/>
          </w:tcPr>
          <w:p w14:paraId="3BA59BF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15,4</w:t>
            </w:r>
          </w:p>
        </w:tc>
      </w:tr>
      <w:tr w:rsidR="00A65805" w:rsidRPr="006613BC" w14:paraId="342017AC" w14:textId="77777777" w:rsidTr="006613BC">
        <w:trPr>
          <w:trHeight w:val="288"/>
        </w:trPr>
        <w:tc>
          <w:tcPr>
            <w:tcW w:w="1986" w:type="pct"/>
            <w:tcBorders>
              <w:top w:val="nil"/>
              <w:left w:val="nil"/>
              <w:bottom w:val="nil"/>
              <w:right w:val="nil"/>
            </w:tcBorders>
            <w:shd w:val="clear" w:color="auto" w:fill="auto"/>
            <w:noWrap/>
            <w:vAlign w:val="center"/>
            <w:hideMark/>
          </w:tcPr>
          <w:p w14:paraId="17DB726D"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Nessun rapporto</w:t>
            </w:r>
          </w:p>
        </w:tc>
        <w:tc>
          <w:tcPr>
            <w:tcW w:w="602" w:type="pct"/>
            <w:tcBorders>
              <w:top w:val="nil"/>
              <w:left w:val="nil"/>
              <w:bottom w:val="nil"/>
              <w:right w:val="nil"/>
            </w:tcBorders>
            <w:shd w:val="clear" w:color="000000" w:fill="FCFCFF"/>
            <w:noWrap/>
            <w:vAlign w:val="center"/>
            <w:hideMark/>
          </w:tcPr>
          <w:p w14:paraId="58C16BCE"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BFCFE"/>
            <w:noWrap/>
            <w:vAlign w:val="center"/>
            <w:hideMark/>
          </w:tcPr>
          <w:p w14:paraId="0F519E1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w:t>
            </w:r>
          </w:p>
        </w:tc>
        <w:tc>
          <w:tcPr>
            <w:tcW w:w="603" w:type="pct"/>
            <w:tcBorders>
              <w:top w:val="nil"/>
              <w:left w:val="nil"/>
              <w:bottom w:val="nil"/>
              <w:right w:val="nil"/>
            </w:tcBorders>
            <w:shd w:val="clear" w:color="000000" w:fill="FAFCFD"/>
            <w:noWrap/>
            <w:vAlign w:val="center"/>
            <w:hideMark/>
          </w:tcPr>
          <w:p w14:paraId="492BCE6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1,3</w:t>
            </w:r>
          </w:p>
        </w:tc>
        <w:tc>
          <w:tcPr>
            <w:tcW w:w="603" w:type="pct"/>
            <w:tcBorders>
              <w:top w:val="nil"/>
              <w:left w:val="nil"/>
              <w:bottom w:val="nil"/>
              <w:right w:val="nil"/>
            </w:tcBorders>
            <w:shd w:val="clear" w:color="000000" w:fill="A2D8B2"/>
            <w:noWrap/>
            <w:vAlign w:val="center"/>
            <w:hideMark/>
          </w:tcPr>
          <w:p w14:paraId="3099EF4E"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48,5</w:t>
            </w:r>
          </w:p>
        </w:tc>
        <w:tc>
          <w:tcPr>
            <w:tcW w:w="603" w:type="pct"/>
            <w:tcBorders>
              <w:top w:val="nil"/>
              <w:left w:val="nil"/>
              <w:bottom w:val="nil"/>
              <w:right w:val="nil"/>
            </w:tcBorders>
            <w:shd w:val="clear" w:color="auto" w:fill="auto"/>
            <w:noWrap/>
            <w:vAlign w:val="center"/>
            <w:hideMark/>
          </w:tcPr>
          <w:p w14:paraId="1C7E4B6B"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13,4</w:t>
            </w:r>
          </w:p>
        </w:tc>
      </w:tr>
      <w:tr w:rsidR="00A65805" w:rsidRPr="006613BC" w14:paraId="485E381F" w14:textId="77777777" w:rsidTr="006613BC">
        <w:trPr>
          <w:trHeight w:val="288"/>
        </w:trPr>
        <w:tc>
          <w:tcPr>
            <w:tcW w:w="1986" w:type="pct"/>
            <w:tcBorders>
              <w:top w:val="nil"/>
              <w:left w:val="nil"/>
              <w:bottom w:val="nil"/>
              <w:right w:val="nil"/>
            </w:tcBorders>
            <w:shd w:val="clear" w:color="auto" w:fill="auto"/>
            <w:noWrap/>
            <w:vAlign w:val="center"/>
            <w:hideMark/>
          </w:tcPr>
          <w:p w14:paraId="4E38E61E"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Vendita all'estero con proprie filiali commerciali o negozi</w:t>
            </w:r>
          </w:p>
        </w:tc>
        <w:tc>
          <w:tcPr>
            <w:tcW w:w="602" w:type="pct"/>
            <w:tcBorders>
              <w:top w:val="nil"/>
              <w:left w:val="nil"/>
              <w:bottom w:val="nil"/>
              <w:right w:val="nil"/>
            </w:tcBorders>
            <w:shd w:val="clear" w:color="000000" w:fill="8ACE9D"/>
            <w:noWrap/>
            <w:vAlign w:val="center"/>
            <w:hideMark/>
          </w:tcPr>
          <w:p w14:paraId="77E0F56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61,5</w:t>
            </w:r>
          </w:p>
        </w:tc>
        <w:tc>
          <w:tcPr>
            <w:tcW w:w="603" w:type="pct"/>
            <w:tcBorders>
              <w:top w:val="nil"/>
              <w:left w:val="nil"/>
              <w:bottom w:val="nil"/>
              <w:right w:val="nil"/>
            </w:tcBorders>
            <w:shd w:val="clear" w:color="000000" w:fill="E2F2E9"/>
            <w:noWrap/>
            <w:vAlign w:val="center"/>
            <w:hideMark/>
          </w:tcPr>
          <w:p w14:paraId="0C3418FD"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14,3</w:t>
            </w:r>
          </w:p>
        </w:tc>
        <w:tc>
          <w:tcPr>
            <w:tcW w:w="603" w:type="pct"/>
            <w:tcBorders>
              <w:top w:val="nil"/>
              <w:left w:val="nil"/>
              <w:bottom w:val="nil"/>
              <w:right w:val="nil"/>
            </w:tcBorders>
            <w:shd w:val="clear" w:color="000000" w:fill="F7FAFB"/>
            <w:noWrap/>
            <w:vAlign w:val="center"/>
            <w:hideMark/>
          </w:tcPr>
          <w:p w14:paraId="45AF52FD"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w:t>
            </w:r>
          </w:p>
        </w:tc>
        <w:tc>
          <w:tcPr>
            <w:tcW w:w="603" w:type="pct"/>
            <w:tcBorders>
              <w:top w:val="nil"/>
              <w:left w:val="nil"/>
              <w:bottom w:val="nil"/>
              <w:right w:val="nil"/>
            </w:tcBorders>
            <w:shd w:val="clear" w:color="000000" w:fill="FBFCFF"/>
            <w:noWrap/>
            <w:vAlign w:val="center"/>
            <w:hideMark/>
          </w:tcPr>
          <w:p w14:paraId="720F8CC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0,6</w:t>
            </w:r>
          </w:p>
        </w:tc>
        <w:tc>
          <w:tcPr>
            <w:tcW w:w="603" w:type="pct"/>
            <w:tcBorders>
              <w:top w:val="nil"/>
              <w:left w:val="nil"/>
              <w:bottom w:val="nil"/>
              <w:right w:val="nil"/>
            </w:tcBorders>
            <w:shd w:val="clear" w:color="auto" w:fill="auto"/>
            <w:noWrap/>
            <w:vAlign w:val="center"/>
            <w:hideMark/>
          </w:tcPr>
          <w:p w14:paraId="5998721A"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9,6</w:t>
            </w:r>
          </w:p>
        </w:tc>
      </w:tr>
      <w:tr w:rsidR="00A65805" w:rsidRPr="006613BC" w14:paraId="3C06D62B" w14:textId="77777777" w:rsidTr="006613BC">
        <w:trPr>
          <w:trHeight w:val="288"/>
        </w:trPr>
        <w:tc>
          <w:tcPr>
            <w:tcW w:w="1986" w:type="pct"/>
            <w:tcBorders>
              <w:top w:val="nil"/>
              <w:left w:val="nil"/>
              <w:bottom w:val="nil"/>
              <w:right w:val="nil"/>
            </w:tcBorders>
            <w:shd w:val="clear" w:color="auto" w:fill="auto"/>
            <w:noWrap/>
            <w:vAlign w:val="center"/>
            <w:hideMark/>
          </w:tcPr>
          <w:p w14:paraId="619BCD95"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Uffici di rappresentanza commerciale (</w:t>
            </w:r>
            <w:proofErr w:type="gramStart"/>
            <w:r w:rsidRPr="006613BC">
              <w:rPr>
                <w:rFonts w:ascii="Arial" w:eastAsia="Times New Roman" w:hAnsi="Arial" w:cs="Arial"/>
                <w:color w:val="000000"/>
                <w:kern w:val="0"/>
                <w:sz w:val="16"/>
                <w:szCs w:val="16"/>
                <w:lang w:eastAsia="it-IT"/>
                <w14:ligatures w14:val="none"/>
              </w:rPr>
              <w:t>no</w:t>
            </w:r>
            <w:proofErr w:type="gramEnd"/>
            <w:r w:rsidRPr="006613BC">
              <w:rPr>
                <w:rFonts w:ascii="Arial" w:eastAsia="Times New Roman" w:hAnsi="Arial" w:cs="Arial"/>
                <w:color w:val="000000"/>
                <w:kern w:val="0"/>
                <w:sz w:val="16"/>
                <w:szCs w:val="16"/>
                <w:lang w:eastAsia="it-IT"/>
                <w14:ligatures w14:val="none"/>
              </w:rPr>
              <w:t xml:space="preserve"> filiali/negozi)</w:t>
            </w:r>
          </w:p>
        </w:tc>
        <w:tc>
          <w:tcPr>
            <w:tcW w:w="602" w:type="pct"/>
            <w:tcBorders>
              <w:top w:val="nil"/>
              <w:left w:val="nil"/>
              <w:bottom w:val="nil"/>
              <w:right w:val="nil"/>
            </w:tcBorders>
            <w:shd w:val="clear" w:color="000000" w:fill="C3E5CE"/>
            <w:noWrap/>
            <w:vAlign w:val="center"/>
            <w:hideMark/>
          </w:tcPr>
          <w:p w14:paraId="312AC28B"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30,8</w:t>
            </w:r>
          </w:p>
        </w:tc>
        <w:tc>
          <w:tcPr>
            <w:tcW w:w="603" w:type="pct"/>
            <w:tcBorders>
              <w:top w:val="nil"/>
              <w:left w:val="nil"/>
              <w:bottom w:val="nil"/>
              <w:right w:val="nil"/>
            </w:tcBorders>
            <w:shd w:val="clear" w:color="000000" w:fill="E8F4EE"/>
            <w:noWrap/>
            <w:vAlign w:val="center"/>
            <w:hideMark/>
          </w:tcPr>
          <w:p w14:paraId="50761A2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11</w:t>
            </w:r>
          </w:p>
        </w:tc>
        <w:tc>
          <w:tcPr>
            <w:tcW w:w="603" w:type="pct"/>
            <w:tcBorders>
              <w:top w:val="nil"/>
              <w:left w:val="nil"/>
              <w:bottom w:val="nil"/>
              <w:right w:val="nil"/>
            </w:tcBorders>
            <w:shd w:val="clear" w:color="000000" w:fill="F4F9F8"/>
            <w:noWrap/>
            <w:vAlign w:val="center"/>
            <w:hideMark/>
          </w:tcPr>
          <w:p w14:paraId="5DD6F55B"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4,8</w:t>
            </w:r>
          </w:p>
        </w:tc>
        <w:tc>
          <w:tcPr>
            <w:tcW w:w="603" w:type="pct"/>
            <w:tcBorders>
              <w:top w:val="nil"/>
              <w:left w:val="nil"/>
              <w:bottom w:val="nil"/>
              <w:right w:val="nil"/>
            </w:tcBorders>
            <w:shd w:val="clear" w:color="000000" w:fill="FBFCFF"/>
            <w:noWrap/>
            <w:vAlign w:val="center"/>
            <w:hideMark/>
          </w:tcPr>
          <w:p w14:paraId="1A8F8911"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0,6</w:t>
            </w:r>
          </w:p>
        </w:tc>
        <w:tc>
          <w:tcPr>
            <w:tcW w:w="603" w:type="pct"/>
            <w:tcBorders>
              <w:top w:val="nil"/>
              <w:left w:val="nil"/>
              <w:bottom w:val="nil"/>
              <w:right w:val="nil"/>
            </w:tcBorders>
            <w:shd w:val="clear" w:color="auto" w:fill="auto"/>
            <w:noWrap/>
            <w:vAlign w:val="center"/>
            <w:hideMark/>
          </w:tcPr>
          <w:p w14:paraId="0F89FEF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7,2</w:t>
            </w:r>
          </w:p>
        </w:tc>
      </w:tr>
      <w:tr w:rsidR="00A65805" w:rsidRPr="006613BC" w14:paraId="1FCC349A" w14:textId="77777777" w:rsidTr="006613BC">
        <w:trPr>
          <w:trHeight w:val="288"/>
        </w:trPr>
        <w:tc>
          <w:tcPr>
            <w:tcW w:w="1986" w:type="pct"/>
            <w:tcBorders>
              <w:top w:val="nil"/>
              <w:left w:val="nil"/>
              <w:bottom w:val="nil"/>
              <w:right w:val="nil"/>
            </w:tcBorders>
            <w:shd w:val="clear" w:color="auto" w:fill="auto"/>
            <w:noWrap/>
            <w:vAlign w:val="center"/>
            <w:hideMark/>
          </w:tcPr>
          <w:p w14:paraId="6D530F4D"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Produzione all'estero con proprie sedi e stabilimenti</w:t>
            </w:r>
          </w:p>
        </w:tc>
        <w:tc>
          <w:tcPr>
            <w:tcW w:w="602" w:type="pct"/>
            <w:tcBorders>
              <w:top w:val="nil"/>
              <w:left w:val="nil"/>
              <w:bottom w:val="nil"/>
              <w:right w:val="nil"/>
            </w:tcBorders>
            <w:shd w:val="clear" w:color="000000" w:fill="98D4A9"/>
            <w:noWrap/>
            <w:vAlign w:val="center"/>
            <w:hideMark/>
          </w:tcPr>
          <w:p w14:paraId="267EFB74"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53,8</w:t>
            </w:r>
          </w:p>
        </w:tc>
        <w:tc>
          <w:tcPr>
            <w:tcW w:w="603" w:type="pct"/>
            <w:tcBorders>
              <w:top w:val="nil"/>
              <w:left w:val="nil"/>
              <w:bottom w:val="nil"/>
              <w:right w:val="nil"/>
            </w:tcBorders>
            <w:shd w:val="clear" w:color="000000" w:fill="F5FAF9"/>
            <w:noWrap/>
            <w:vAlign w:val="center"/>
            <w:hideMark/>
          </w:tcPr>
          <w:p w14:paraId="70815BFE"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3,8</w:t>
            </w:r>
          </w:p>
        </w:tc>
        <w:tc>
          <w:tcPr>
            <w:tcW w:w="603" w:type="pct"/>
            <w:tcBorders>
              <w:top w:val="nil"/>
              <w:left w:val="nil"/>
              <w:bottom w:val="nil"/>
              <w:right w:val="nil"/>
            </w:tcBorders>
            <w:shd w:val="clear" w:color="000000" w:fill="FBFCFE"/>
            <w:noWrap/>
            <w:vAlign w:val="center"/>
            <w:hideMark/>
          </w:tcPr>
          <w:p w14:paraId="2DB30AB9"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0,9</w:t>
            </w:r>
          </w:p>
        </w:tc>
        <w:tc>
          <w:tcPr>
            <w:tcW w:w="603" w:type="pct"/>
            <w:tcBorders>
              <w:top w:val="nil"/>
              <w:left w:val="nil"/>
              <w:bottom w:val="nil"/>
              <w:right w:val="nil"/>
            </w:tcBorders>
            <w:shd w:val="clear" w:color="000000" w:fill="FCFCFF"/>
            <w:noWrap/>
            <w:vAlign w:val="center"/>
            <w:hideMark/>
          </w:tcPr>
          <w:p w14:paraId="48AF20F7"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auto" w:fill="auto"/>
            <w:noWrap/>
            <w:vAlign w:val="center"/>
            <w:hideMark/>
          </w:tcPr>
          <w:p w14:paraId="019081B2"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4,8</w:t>
            </w:r>
          </w:p>
        </w:tc>
      </w:tr>
      <w:tr w:rsidR="00A65805" w:rsidRPr="006613BC" w14:paraId="58D6AD51" w14:textId="77777777" w:rsidTr="006613BC">
        <w:trPr>
          <w:trHeight w:val="288"/>
        </w:trPr>
        <w:tc>
          <w:tcPr>
            <w:tcW w:w="1986" w:type="pct"/>
            <w:tcBorders>
              <w:top w:val="nil"/>
              <w:left w:val="nil"/>
              <w:bottom w:val="nil"/>
              <w:right w:val="nil"/>
            </w:tcBorders>
            <w:shd w:val="clear" w:color="auto" w:fill="auto"/>
            <w:noWrap/>
            <w:vAlign w:val="center"/>
            <w:hideMark/>
          </w:tcPr>
          <w:p w14:paraId="780AAE7E"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Acquisto di impianti e tecnologie dall'estero</w:t>
            </w:r>
          </w:p>
        </w:tc>
        <w:tc>
          <w:tcPr>
            <w:tcW w:w="602" w:type="pct"/>
            <w:tcBorders>
              <w:top w:val="nil"/>
              <w:left w:val="nil"/>
              <w:bottom w:val="nil"/>
              <w:right w:val="nil"/>
            </w:tcBorders>
            <w:shd w:val="clear" w:color="000000" w:fill="F8FBFB"/>
            <w:noWrap/>
            <w:vAlign w:val="center"/>
            <w:hideMark/>
          </w:tcPr>
          <w:p w14:paraId="4CD5061B"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2,6</w:t>
            </w:r>
          </w:p>
        </w:tc>
        <w:tc>
          <w:tcPr>
            <w:tcW w:w="603" w:type="pct"/>
            <w:tcBorders>
              <w:top w:val="nil"/>
              <w:left w:val="nil"/>
              <w:bottom w:val="nil"/>
              <w:right w:val="nil"/>
            </w:tcBorders>
            <w:shd w:val="clear" w:color="000000" w:fill="F3F9F7"/>
            <w:noWrap/>
            <w:vAlign w:val="center"/>
            <w:hideMark/>
          </w:tcPr>
          <w:p w14:paraId="23581273"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5,2</w:t>
            </w:r>
          </w:p>
        </w:tc>
        <w:tc>
          <w:tcPr>
            <w:tcW w:w="603" w:type="pct"/>
            <w:tcBorders>
              <w:top w:val="nil"/>
              <w:left w:val="nil"/>
              <w:bottom w:val="nil"/>
              <w:right w:val="nil"/>
            </w:tcBorders>
            <w:shd w:val="clear" w:color="000000" w:fill="F4F9F9"/>
            <w:noWrap/>
            <w:vAlign w:val="center"/>
            <w:hideMark/>
          </w:tcPr>
          <w:p w14:paraId="04C89B0D"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4,3</w:t>
            </w:r>
          </w:p>
        </w:tc>
        <w:tc>
          <w:tcPr>
            <w:tcW w:w="603" w:type="pct"/>
            <w:tcBorders>
              <w:top w:val="nil"/>
              <w:left w:val="nil"/>
              <w:bottom w:val="nil"/>
              <w:right w:val="nil"/>
            </w:tcBorders>
            <w:shd w:val="clear" w:color="000000" w:fill="F8FBFC"/>
            <w:noWrap/>
            <w:vAlign w:val="center"/>
            <w:hideMark/>
          </w:tcPr>
          <w:p w14:paraId="1EF0E9F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2,4</w:t>
            </w:r>
          </w:p>
        </w:tc>
        <w:tc>
          <w:tcPr>
            <w:tcW w:w="603" w:type="pct"/>
            <w:tcBorders>
              <w:top w:val="nil"/>
              <w:left w:val="nil"/>
              <w:bottom w:val="nil"/>
              <w:right w:val="nil"/>
            </w:tcBorders>
            <w:shd w:val="clear" w:color="auto" w:fill="auto"/>
            <w:noWrap/>
            <w:vAlign w:val="center"/>
            <w:hideMark/>
          </w:tcPr>
          <w:p w14:paraId="1B4C4A9A"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4</w:t>
            </w:r>
          </w:p>
        </w:tc>
      </w:tr>
      <w:tr w:rsidR="00A65805" w:rsidRPr="006613BC" w14:paraId="23038745" w14:textId="77777777" w:rsidTr="006613BC">
        <w:trPr>
          <w:trHeight w:val="288"/>
        </w:trPr>
        <w:tc>
          <w:tcPr>
            <w:tcW w:w="1986" w:type="pct"/>
            <w:tcBorders>
              <w:top w:val="nil"/>
              <w:left w:val="nil"/>
              <w:bottom w:val="nil"/>
              <w:right w:val="nil"/>
            </w:tcBorders>
            <w:shd w:val="clear" w:color="auto" w:fill="auto"/>
            <w:noWrap/>
            <w:vAlign w:val="center"/>
            <w:hideMark/>
          </w:tcPr>
          <w:p w14:paraId="3EC3DF2F"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Produzione all'estero con accordi/contratti con imprese locali</w:t>
            </w:r>
          </w:p>
        </w:tc>
        <w:tc>
          <w:tcPr>
            <w:tcW w:w="602" w:type="pct"/>
            <w:tcBorders>
              <w:top w:val="nil"/>
              <w:left w:val="nil"/>
              <w:bottom w:val="nil"/>
              <w:right w:val="nil"/>
            </w:tcBorders>
            <w:shd w:val="clear" w:color="000000" w:fill="C3E5CE"/>
            <w:noWrap/>
            <w:vAlign w:val="center"/>
            <w:hideMark/>
          </w:tcPr>
          <w:p w14:paraId="7B55D0FB"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30,8</w:t>
            </w:r>
          </w:p>
        </w:tc>
        <w:tc>
          <w:tcPr>
            <w:tcW w:w="603" w:type="pct"/>
            <w:tcBorders>
              <w:top w:val="nil"/>
              <w:left w:val="nil"/>
              <w:bottom w:val="nil"/>
              <w:right w:val="nil"/>
            </w:tcBorders>
            <w:shd w:val="clear" w:color="000000" w:fill="FAFBFD"/>
            <w:noWrap/>
            <w:vAlign w:val="center"/>
            <w:hideMark/>
          </w:tcPr>
          <w:p w14:paraId="263F3541"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1,4</w:t>
            </w:r>
          </w:p>
        </w:tc>
        <w:tc>
          <w:tcPr>
            <w:tcW w:w="603" w:type="pct"/>
            <w:tcBorders>
              <w:top w:val="nil"/>
              <w:left w:val="nil"/>
              <w:bottom w:val="nil"/>
              <w:right w:val="nil"/>
            </w:tcBorders>
            <w:shd w:val="clear" w:color="000000" w:fill="FAFCFD"/>
            <w:noWrap/>
            <w:vAlign w:val="center"/>
            <w:hideMark/>
          </w:tcPr>
          <w:p w14:paraId="61EAD30E"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1,3</w:t>
            </w:r>
          </w:p>
        </w:tc>
        <w:tc>
          <w:tcPr>
            <w:tcW w:w="603" w:type="pct"/>
            <w:tcBorders>
              <w:top w:val="nil"/>
              <w:left w:val="nil"/>
              <w:bottom w:val="nil"/>
              <w:right w:val="nil"/>
            </w:tcBorders>
            <w:shd w:val="clear" w:color="000000" w:fill="FBFCFF"/>
            <w:noWrap/>
            <w:vAlign w:val="center"/>
            <w:hideMark/>
          </w:tcPr>
          <w:p w14:paraId="08AFB521"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0,6</w:t>
            </w:r>
          </w:p>
        </w:tc>
        <w:tc>
          <w:tcPr>
            <w:tcW w:w="603" w:type="pct"/>
            <w:tcBorders>
              <w:top w:val="nil"/>
              <w:left w:val="nil"/>
              <w:bottom w:val="nil"/>
              <w:right w:val="nil"/>
            </w:tcBorders>
            <w:shd w:val="clear" w:color="auto" w:fill="auto"/>
            <w:noWrap/>
            <w:vAlign w:val="center"/>
            <w:hideMark/>
          </w:tcPr>
          <w:p w14:paraId="57C45BD3"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2,9</w:t>
            </w:r>
          </w:p>
        </w:tc>
      </w:tr>
      <w:tr w:rsidR="00A65805" w:rsidRPr="006613BC" w14:paraId="5BDB25F9" w14:textId="77777777" w:rsidTr="006613BC">
        <w:trPr>
          <w:trHeight w:val="288"/>
        </w:trPr>
        <w:tc>
          <w:tcPr>
            <w:tcW w:w="1986" w:type="pct"/>
            <w:tcBorders>
              <w:top w:val="nil"/>
              <w:left w:val="nil"/>
              <w:bottom w:val="nil"/>
              <w:right w:val="nil"/>
            </w:tcBorders>
            <w:shd w:val="clear" w:color="auto" w:fill="auto"/>
            <w:noWrap/>
            <w:vAlign w:val="center"/>
            <w:hideMark/>
          </w:tcPr>
          <w:p w14:paraId="59691ED5"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Joint ventures con vendita all'estero</w:t>
            </w:r>
          </w:p>
        </w:tc>
        <w:tc>
          <w:tcPr>
            <w:tcW w:w="602" w:type="pct"/>
            <w:tcBorders>
              <w:top w:val="nil"/>
              <w:left w:val="nil"/>
              <w:bottom w:val="nil"/>
              <w:right w:val="nil"/>
            </w:tcBorders>
            <w:shd w:val="clear" w:color="000000" w:fill="C8E7D2"/>
            <w:noWrap/>
            <w:vAlign w:val="center"/>
            <w:hideMark/>
          </w:tcPr>
          <w:p w14:paraId="30D0B722"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28,2</w:t>
            </w:r>
          </w:p>
        </w:tc>
        <w:tc>
          <w:tcPr>
            <w:tcW w:w="603" w:type="pct"/>
            <w:tcBorders>
              <w:top w:val="nil"/>
              <w:left w:val="nil"/>
              <w:bottom w:val="nil"/>
              <w:right w:val="nil"/>
            </w:tcBorders>
            <w:shd w:val="clear" w:color="000000" w:fill="FCFCFF"/>
            <w:noWrap/>
            <w:vAlign w:val="center"/>
            <w:hideMark/>
          </w:tcPr>
          <w:p w14:paraId="520E6074"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0C97187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1B9223F0"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auto" w:fill="auto"/>
            <w:noWrap/>
            <w:vAlign w:val="center"/>
            <w:hideMark/>
          </w:tcPr>
          <w:p w14:paraId="5079631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1,7</w:t>
            </w:r>
          </w:p>
        </w:tc>
      </w:tr>
      <w:tr w:rsidR="00A65805" w:rsidRPr="006613BC" w14:paraId="49B5AD77" w14:textId="77777777" w:rsidTr="006613BC">
        <w:trPr>
          <w:trHeight w:val="288"/>
        </w:trPr>
        <w:tc>
          <w:tcPr>
            <w:tcW w:w="1986" w:type="pct"/>
            <w:tcBorders>
              <w:top w:val="nil"/>
              <w:left w:val="nil"/>
              <w:bottom w:val="nil"/>
              <w:right w:val="nil"/>
            </w:tcBorders>
            <w:shd w:val="clear" w:color="auto" w:fill="auto"/>
            <w:noWrap/>
            <w:vAlign w:val="center"/>
            <w:hideMark/>
          </w:tcPr>
          <w:p w14:paraId="014C9947"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Produzione affidata in licenza all'estero</w:t>
            </w:r>
          </w:p>
        </w:tc>
        <w:tc>
          <w:tcPr>
            <w:tcW w:w="602" w:type="pct"/>
            <w:tcBorders>
              <w:top w:val="nil"/>
              <w:left w:val="nil"/>
              <w:bottom w:val="nil"/>
              <w:right w:val="nil"/>
            </w:tcBorders>
            <w:shd w:val="clear" w:color="000000" w:fill="EEF7F3"/>
            <w:noWrap/>
            <w:vAlign w:val="center"/>
            <w:hideMark/>
          </w:tcPr>
          <w:p w14:paraId="72A0E7C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7,7</w:t>
            </w:r>
          </w:p>
        </w:tc>
        <w:tc>
          <w:tcPr>
            <w:tcW w:w="603" w:type="pct"/>
            <w:tcBorders>
              <w:top w:val="nil"/>
              <w:left w:val="nil"/>
              <w:bottom w:val="nil"/>
              <w:right w:val="nil"/>
            </w:tcBorders>
            <w:shd w:val="clear" w:color="000000" w:fill="FCFCFF"/>
            <w:noWrap/>
            <w:vAlign w:val="center"/>
            <w:hideMark/>
          </w:tcPr>
          <w:p w14:paraId="21E86C80"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6C973A2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009EA0D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auto" w:fill="auto"/>
            <w:noWrap/>
            <w:vAlign w:val="center"/>
            <w:hideMark/>
          </w:tcPr>
          <w:p w14:paraId="608E2F33"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0,5</w:t>
            </w:r>
          </w:p>
        </w:tc>
      </w:tr>
      <w:tr w:rsidR="00A65805" w:rsidRPr="006613BC" w14:paraId="2E0E41EA" w14:textId="77777777" w:rsidTr="006613BC">
        <w:trPr>
          <w:trHeight w:val="288"/>
        </w:trPr>
        <w:tc>
          <w:tcPr>
            <w:tcW w:w="1986" w:type="pct"/>
            <w:tcBorders>
              <w:top w:val="nil"/>
              <w:left w:val="nil"/>
              <w:bottom w:val="nil"/>
              <w:right w:val="nil"/>
            </w:tcBorders>
            <w:shd w:val="clear" w:color="auto" w:fill="auto"/>
            <w:noWrap/>
            <w:vAlign w:val="center"/>
            <w:hideMark/>
          </w:tcPr>
          <w:p w14:paraId="59CC8FC9"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Franchising all'estero</w:t>
            </w:r>
          </w:p>
        </w:tc>
        <w:tc>
          <w:tcPr>
            <w:tcW w:w="602" w:type="pct"/>
            <w:tcBorders>
              <w:top w:val="nil"/>
              <w:left w:val="nil"/>
              <w:bottom w:val="nil"/>
              <w:right w:val="nil"/>
            </w:tcBorders>
            <w:shd w:val="clear" w:color="000000" w:fill="F3F9F7"/>
            <w:noWrap/>
            <w:vAlign w:val="center"/>
            <w:hideMark/>
          </w:tcPr>
          <w:p w14:paraId="17B4FEE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5,1</w:t>
            </w:r>
          </w:p>
        </w:tc>
        <w:tc>
          <w:tcPr>
            <w:tcW w:w="603" w:type="pct"/>
            <w:tcBorders>
              <w:top w:val="nil"/>
              <w:left w:val="nil"/>
              <w:bottom w:val="nil"/>
              <w:right w:val="nil"/>
            </w:tcBorders>
            <w:shd w:val="clear" w:color="000000" w:fill="FCFCFF"/>
            <w:noWrap/>
            <w:vAlign w:val="center"/>
            <w:hideMark/>
          </w:tcPr>
          <w:p w14:paraId="15A347BF"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340438D6"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21054A67"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auto" w:fill="auto"/>
            <w:noWrap/>
            <w:vAlign w:val="center"/>
            <w:hideMark/>
          </w:tcPr>
          <w:p w14:paraId="63041108"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0,3</w:t>
            </w:r>
          </w:p>
        </w:tc>
      </w:tr>
      <w:tr w:rsidR="00A65805" w:rsidRPr="006613BC" w14:paraId="7E5B2A6D" w14:textId="77777777" w:rsidTr="006613BC">
        <w:trPr>
          <w:trHeight w:val="288"/>
        </w:trPr>
        <w:tc>
          <w:tcPr>
            <w:tcW w:w="1986" w:type="pct"/>
            <w:tcBorders>
              <w:top w:val="nil"/>
              <w:left w:val="nil"/>
              <w:bottom w:val="nil"/>
              <w:right w:val="nil"/>
            </w:tcBorders>
            <w:shd w:val="clear" w:color="auto" w:fill="auto"/>
            <w:noWrap/>
            <w:vAlign w:val="center"/>
            <w:hideMark/>
          </w:tcPr>
          <w:p w14:paraId="740377F6" w14:textId="77777777" w:rsidR="00A65805" w:rsidRPr="006613BC" w:rsidRDefault="00A65805" w:rsidP="00A65805">
            <w:pPr>
              <w:spacing w:line="240" w:lineRule="auto"/>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Joint ventures con produzione all'estero</w:t>
            </w:r>
          </w:p>
        </w:tc>
        <w:tc>
          <w:tcPr>
            <w:tcW w:w="602" w:type="pct"/>
            <w:tcBorders>
              <w:top w:val="nil"/>
              <w:left w:val="nil"/>
              <w:bottom w:val="nil"/>
              <w:right w:val="nil"/>
            </w:tcBorders>
            <w:shd w:val="clear" w:color="000000" w:fill="F3F9F7"/>
            <w:noWrap/>
            <w:vAlign w:val="center"/>
            <w:hideMark/>
          </w:tcPr>
          <w:p w14:paraId="441DFCEC"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5,1</w:t>
            </w:r>
          </w:p>
        </w:tc>
        <w:tc>
          <w:tcPr>
            <w:tcW w:w="603" w:type="pct"/>
            <w:tcBorders>
              <w:top w:val="nil"/>
              <w:left w:val="nil"/>
              <w:bottom w:val="nil"/>
              <w:right w:val="nil"/>
            </w:tcBorders>
            <w:shd w:val="clear" w:color="000000" w:fill="FCFCFF"/>
            <w:noWrap/>
            <w:vAlign w:val="center"/>
            <w:hideMark/>
          </w:tcPr>
          <w:p w14:paraId="4D7CBA95"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450EBF98"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000000" w:fill="FCFCFF"/>
            <w:noWrap/>
            <w:vAlign w:val="center"/>
            <w:hideMark/>
          </w:tcPr>
          <w:p w14:paraId="61D8FF69"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w:t>
            </w:r>
          </w:p>
        </w:tc>
        <w:tc>
          <w:tcPr>
            <w:tcW w:w="603" w:type="pct"/>
            <w:tcBorders>
              <w:top w:val="nil"/>
              <w:left w:val="nil"/>
              <w:bottom w:val="nil"/>
              <w:right w:val="nil"/>
            </w:tcBorders>
            <w:shd w:val="clear" w:color="auto" w:fill="auto"/>
            <w:noWrap/>
            <w:vAlign w:val="center"/>
            <w:hideMark/>
          </w:tcPr>
          <w:p w14:paraId="5CCB4D23" w14:textId="77777777" w:rsidR="00A65805" w:rsidRPr="006613BC" w:rsidRDefault="00A65805" w:rsidP="00A65805">
            <w:pPr>
              <w:spacing w:line="240" w:lineRule="auto"/>
              <w:jc w:val="center"/>
              <w:rPr>
                <w:rFonts w:ascii="Arial" w:eastAsia="Times New Roman" w:hAnsi="Arial" w:cs="Arial"/>
                <w:color w:val="000000"/>
                <w:kern w:val="0"/>
                <w:sz w:val="16"/>
                <w:szCs w:val="16"/>
                <w:lang w:eastAsia="it-IT"/>
                <w14:ligatures w14:val="none"/>
              </w:rPr>
            </w:pPr>
            <w:r w:rsidRPr="006613BC">
              <w:rPr>
                <w:rFonts w:ascii="Arial" w:eastAsia="Times New Roman" w:hAnsi="Arial" w:cs="Arial"/>
                <w:color w:val="000000"/>
                <w:kern w:val="0"/>
                <w:sz w:val="16"/>
                <w:szCs w:val="16"/>
                <w:lang w:eastAsia="it-IT"/>
                <w14:ligatures w14:val="none"/>
              </w:rPr>
              <w:t>0,3</w:t>
            </w:r>
          </w:p>
        </w:tc>
      </w:tr>
    </w:tbl>
    <w:p w14:paraId="4B526F6E" w14:textId="5C0D090A" w:rsidR="00992951" w:rsidRPr="00700ED6" w:rsidRDefault="00992951" w:rsidP="00992951">
      <w:pPr>
        <w:rPr>
          <w:sz w:val="18"/>
          <w:szCs w:val="18"/>
        </w:rPr>
      </w:pPr>
      <w:r w:rsidRPr="00700ED6">
        <w:rPr>
          <w:sz w:val="18"/>
          <w:szCs w:val="18"/>
        </w:rPr>
        <w:t>Fonte: Fondazione Nord Est (649 casi)</w:t>
      </w:r>
    </w:p>
    <w:p w14:paraId="34899997" w14:textId="77777777" w:rsidR="00992951" w:rsidRPr="00700ED6" w:rsidRDefault="00992951" w:rsidP="00992951"/>
    <w:p w14:paraId="11BC267E" w14:textId="3A084438" w:rsidR="00C53469" w:rsidRDefault="00F45109" w:rsidP="00874D34">
      <w:pPr>
        <w:jc w:val="both"/>
      </w:pPr>
      <w:r>
        <w:t xml:space="preserve">I cluster </w:t>
      </w:r>
      <w:r w:rsidR="003F6DD2">
        <w:t xml:space="preserve">“Esportatori globali” e </w:t>
      </w:r>
      <w:r>
        <w:t xml:space="preserve">“Esportatori </w:t>
      </w:r>
      <w:r w:rsidR="002B3C1B">
        <w:t>attenti al mercato domestico</w:t>
      </w:r>
      <w:r>
        <w:t xml:space="preserve">” </w:t>
      </w:r>
      <w:r w:rsidR="003F6DD2">
        <w:t>evidenziano</w:t>
      </w:r>
      <w:r w:rsidR="00C54965">
        <w:t xml:space="preserve"> </w:t>
      </w:r>
      <w:r w:rsidR="001E7BE7">
        <w:t xml:space="preserve">percentuali simili di imprese che scelgono le esportazioni dirette come modalità di internazionalizzazione (rispettivamente </w:t>
      </w:r>
      <w:r w:rsidR="00A64570">
        <w:t xml:space="preserve">82,4% e 75,3%). </w:t>
      </w:r>
      <w:r w:rsidR="00CB715B">
        <w:t xml:space="preserve">Va ricordato, comunque, che l’intensità di esportazione </w:t>
      </w:r>
      <w:r w:rsidR="00B727D6">
        <w:t xml:space="preserve">tra i due cluster è molto diversa: </w:t>
      </w:r>
      <w:r w:rsidR="00D64D93">
        <w:t xml:space="preserve">le imprese “esportatrici globali” esportano mediamente quasi il 75% della propria produzione, quota che scende al </w:t>
      </w:r>
      <w:r w:rsidR="005B0BB7">
        <w:t xml:space="preserve">23,9% tra le “esportatrici </w:t>
      </w:r>
      <w:r w:rsidR="002B3C1B">
        <w:t>attente al mercato domestico</w:t>
      </w:r>
      <w:r w:rsidR="005B0BB7">
        <w:t>”</w:t>
      </w:r>
      <w:r w:rsidR="00A75B7A">
        <w:t xml:space="preserve"> (Fig. 2.2)</w:t>
      </w:r>
      <w:r w:rsidR="005B0BB7">
        <w:t>.</w:t>
      </w:r>
      <w:r w:rsidR="00A75B7A">
        <w:t xml:space="preserve"> Tra i due gruppi e</w:t>
      </w:r>
      <w:r w:rsidR="00611F6D">
        <w:t>mergono</w:t>
      </w:r>
      <w:r w:rsidR="00A75B7A">
        <w:t xml:space="preserve"> </w:t>
      </w:r>
      <w:r w:rsidR="00A64570">
        <w:t>alcune</w:t>
      </w:r>
      <w:r w:rsidR="00611F6D">
        <w:t xml:space="preserve"> </w:t>
      </w:r>
      <w:r w:rsidR="00C54965">
        <w:t xml:space="preserve">differenze </w:t>
      </w:r>
      <w:r w:rsidR="00611F6D">
        <w:t xml:space="preserve">rispetto </w:t>
      </w:r>
      <w:r w:rsidR="00221DC3">
        <w:t>alle altre modalità</w:t>
      </w:r>
      <w:r w:rsidR="009B23E4">
        <w:t>.</w:t>
      </w:r>
      <w:r w:rsidR="00182C8B">
        <w:t xml:space="preserve"> Tra gli esportatori globali l</w:t>
      </w:r>
      <w:r w:rsidR="00B203F6">
        <w:t>e</w:t>
      </w:r>
      <w:r w:rsidR="00182C8B">
        <w:t xml:space="preserve"> percentual</w:t>
      </w:r>
      <w:r w:rsidR="00B203F6">
        <w:t>i</w:t>
      </w:r>
      <w:r w:rsidR="00182C8B">
        <w:t xml:space="preserve"> di chi</w:t>
      </w:r>
      <w:r w:rsidR="00241C5E">
        <w:t xml:space="preserve"> importa materiali e componenti e di chi </w:t>
      </w:r>
      <w:r w:rsidR="00B203F6">
        <w:t xml:space="preserve">vende all’estero tramite proprie filiali commerciali o negozi sono più elevate che tra gli esportatori </w:t>
      </w:r>
      <w:r w:rsidR="00A65805">
        <w:t>attenti al mercato domestico</w:t>
      </w:r>
      <w:r w:rsidR="00B203F6">
        <w:t xml:space="preserve">. </w:t>
      </w:r>
    </w:p>
    <w:p w14:paraId="5355ECDB" w14:textId="77777777" w:rsidR="00C53469" w:rsidRDefault="00C53469" w:rsidP="00874D34">
      <w:pPr>
        <w:jc w:val="both"/>
      </w:pPr>
    </w:p>
    <w:p w14:paraId="4F809808" w14:textId="6649EDFF" w:rsidR="00874D34" w:rsidRDefault="00DC17D5" w:rsidP="00874D34">
      <w:pPr>
        <w:jc w:val="both"/>
      </w:pPr>
      <w:r>
        <w:t>Il</w:t>
      </w:r>
      <w:r w:rsidR="00874D34">
        <w:t xml:space="preserve"> raggruppamento </w:t>
      </w:r>
      <w:r w:rsidR="005277B5">
        <w:t>de</w:t>
      </w:r>
      <w:r>
        <w:t>gli</w:t>
      </w:r>
      <w:r w:rsidR="005277B5">
        <w:t xml:space="preserve"> “</w:t>
      </w:r>
      <w:r w:rsidRPr="00DC17D5">
        <w:t>Esportatori occasionali - non esportatori</w:t>
      </w:r>
      <w:r w:rsidR="005277B5">
        <w:t>”</w:t>
      </w:r>
      <w:r w:rsidR="00874D34">
        <w:t xml:space="preserve"> – quello delle imprese poco o per nulla esportatrici – ha il più elevato valore nella voce “Nessun rapporto” </w:t>
      </w:r>
      <w:r w:rsidR="00EE4C62">
        <w:t>(48,5%)</w:t>
      </w:r>
      <w:r w:rsidR="00874D34">
        <w:t xml:space="preserve"> e un’impresa su tre </w:t>
      </w:r>
      <w:r w:rsidR="00EE4C62">
        <w:t>dichiara di</w:t>
      </w:r>
      <w:r w:rsidR="00874D34">
        <w:t xml:space="preserve"> vende</w:t>
      </w:r>
      <w:r w:rsidR="00EE4C62">
        <w:t>re</w:t>
      </w:r>
      <w:r w:rsidR="00874D34">
        <w:t xml:space="preserve"> occasionalmente.</w:t>
      </w:r>
    </w:p>
    <w:p w14:paraId="4BBD510F" w14:textId="77777777" w:rsidR="00297C17" w:rsidRPr="00FC5748" w:rsidRDefault="00297C17" w:rsidP="00874D34">
      <w:pPr>
        <w:jc w:val="both"/>
      </w:pPr>
    </w:p>
    <w:p w14:paraId="5E45AE36" w14:textId="3C81D675" w:rsidR="003C5E74" w:rsidRDefault="00FB38A0" w:rsidP="005A4459">
      <w:pPr>
        <w:jc w:val="both"/>
      </w:pPr>
      <w:r>
        <w:t xml:space="preserve">Per aggiungere ulteriori dimensioni </w:t>
      </w:r>
      <w:r w:rsidR="00534F81">
        <w:t xml:space="preserve">alla descrizione dei cluster </w:t>
      </w:r>
      <w:r w:rsidR="00AA3389">
        <w:t xml:space="preserve">è possibile considerare </w:t>
      </w:r>
      <w:r w:rsidR="000A3E53">
        <w:t xml:space="preserve">altre variabili riferite alla classe dimensionale e </w:t>
      </w:r>
      <w:r w:rsidR="004F6006">
        <w:t>al volume dei ricavi</w:t>
      </w:r>
      <w:r w:rsidR="000A3E53">
        <w:t xml:space="preserve"> delle </w:t>
      </w:r>
      <w:r w:rsidR="00AA3389">
        <w:t>imprese</w:t>
      </w:r>
      <w:r w:rsidR="000A3E53">
        <w:t>.</w:t>
      </w:r>
    </w:p>
    <w:p w14:paraId="72143893" w14:textId="77777777" w:rsidR="006A700D" w:rsidRDefault="006A700D" w:rsidP="005A4459">
      <w:pPr>
        <w:jc w:val="both"/>
      </w:pPr>
    </w:p>
    <w:p w14:paraId="1F180FAA" w14:textId="53B36BF0" w:rsidR="008D3A93" w:rsidRPr="00E42839" w:rsidRDefault="00070980" w:rsidP="00075241">
      <w:pPr>
        <w:rPr>
          <w:b/>
          <w:bCs/>
        </w:rPr>
      </w:pPr>
      <w:r>
        <w:rPr>
          <w:b/>
          <w:bCs/>
        </w:rPr>
        <w:t>Tab.</w:t>
      </w:r>
      <w:r w:rsidR="00E42839" w:rsidRPr="00537D0A">
        <w:rPr>
          <w:b/>
          <w:bCs/>
        </w:rPr>
        <w:t xml:space="preserve"> 2.</w:t>
      </w:r>
      <w:r w:rsidR="00E8513C">
        <w:rPr>
          <w:b/>
          <w:bCs/>
        </w:rPr>
        <w:t>2</w:t>
      </w:r>
      <w:r>
        <w:rPr>
          <w:b/>
          <w:bCs/>
        </w:rPr>
        <w:t xml:space="preserve"> -</w:t>
      </w:r>
      <w:r w:rsidR="00E42839" w:rsidRPr="00537D0A">
        <w:rPr>
          <w:b/>
          <w:bCs/>
        </w:rPr>
        <w:t xml:space="preserve"> Numerosità di imprese per cluster</w:t>
      </w:r>
      <w:r w:rsidR="001B0626">
        <w:rPr>
          <w:b/>
          <w:bCs/>
        </w:rPr>
        <w:t xml:space="preserve"> e classe dimensionale (valori percentuali)</w:t>
      </w:r>
    </w:p>
    <w:tbl>
      <w:tblPr>
        <w:tblW w:w="5000" w:type="pct"/>
        <w:tblCellMar>
          <w:left w:w="70" w:type="dxa"/>
          <w:right w:w="70" w:type="dxa"/>
        </w:tblCellMar>
        <w:tblLook w:val="04A0" w:firstRow="1" w:lastRow="0" w:firstColumn="1" w:lastColumn="0" w:noHBand="0" w:noVBand="1"/>
      </w:tblPr>
      <w:tblGrid>
        <w:gridCol w:w="1826"/>
        <w:gridCol w:w="1564"/>
        <w:gridCol w:w="1563"/>
        <w:gridCol w:w="1563"/>
        <w:gridCol w:w="1563"/>
        <w:gridCol w:w="1559"/>
      </w:tblGrid>
      <w:tr w:rsidR="00416F77" w:rsidRPr="00416F77" w14:paraId="554CD92E" w14:textId="77777777" w:rsidTr="00416F77">
        <w:trPr>
          <w:trHeight w:val="792"/>
        </w:trPr>
        <w:tc>
          <w:tcPr>
            <w:tcW w:w="947" w:type="pct"/>
            <w:tcBorders>
              <w:top w:val="nil"/>
              <w:left w:val="nil"/>
              <w:bottom w:val="nil"/>
              <w:right w:val="nil"/>
            </w:tcBorders>
            <w:shd w:val="clear" w:color="auto" w:fill="auto"/>
            <w:vAlign w:val="center"/>
            <w:hideMark/>
          </w:tcPr>
          <w:p w14:paraId="6C5595F7" w14:textId="77777777" w:rsidR="00416F77" w:rsidRPr="00416F77" w:rsidRDefault="00416F77" w:rsidP="00416F77">
            <w:pPr>
              <w:spacing w:line="240" w:lineRule="auto"/>
              <w:jc w:val="center"/>
              <w:rPr>
                <w:rFonts w:ascii="Arial" w:eastAsia="Times New Roman" w:hAnsi="Arial" w:cs="Arial"/>
                <w:b/>
                <w:bCs/>
                <w:color w:val="000000"/>
                <w:kern w:val="0"/>
                <w:sz w:val="16"/>
                <w:szCs w:val="16"/>
                <w:lang w:eastAsia="it-IT"/>
                <w14:ligatures w14:val="none"/>
              </w:rPr>
            </w:pPr>
            <w:r w:rsidRPr="00416F77">
              <w:rPr>
                <w:rFonts w:ascii="Arial" w:eastAsia="Times New Roman" w:hAnsi="Arial" w:cs="Arial"/>
                <w:b/>
                <w:bCs/>
                <w:color w:val="000000"/>
                <w:kern w:val="0"/>
                <w:sz w:val="16"/>
                <w:szCs w:val="16"/>
                <w:lang w:eastAsia="it-IT"/>
                <w14:ligatures w14:val="none"/>
              </w:rPr>
              <w:t>Classe dimensionale</w:t>
            </w:r>
          </w:p>
        </w:tc>
        <w:tc>
          <w:tcPr>
            <w:tcW w:w="811" w:type="pct"/>
            <w:tcBorders>
              <w:top w:val="nil"/>
              <w:left w:val="nil"/>
              <w:bottom w:val="nil"/>
              <w:right w:val="nil"/>
            </w:tcBorders>
            <w:shd w:val="clear" w:color="auto" w:fill="auto"/>
            <w:vAlign w:val="center"/>
            <w:hideMark/>
          </w:tcPr>
          <w:p w14:paraId="231DA5EF" w14:textId="437375E6" w:rsidR="003E44A9" w:rsidRPr="009706E9" w:rsidRDefault="00416F77" w:rsidP="00416F77">
            <w:pPr>
              <w:spacing w:line="240" w:lineRule="auto"/>
              <w:jc w:val="center"/>
              <w:rPr>
                <w:rFonts w:ascii="Arial" w:eastAsia="Times New Roman" w:hAnsi="Arial" w:cs="Arial"/>
                <w:b/>
                <w:bCs/>
                <w:color w:val="000000"/>
                <w:kern w:val="0"/>
                <w:sz w:val="16"/>
                <w:szCs w:val="16"/>
                <w:lang w:eastAsia="it-IT"/>
                <w14:ligatures w14:val="none"/>
              </w:rPr>
            </w:pPr>
            <w:proofErr w:type="spellStart"/>
            <w:r w:rsidRPr="009706E9">
              <w:rPr>
                <w:rFonts w:ascii="Arial" w:eastAsia="Times New Roman" w:hAnsi="Arial" w:cs="Arial"/>
                <w:b/>
                <w:bCs/>
                <w:color w:val="000000"/>
                <w:kern w:val="0"/>
                <w:sz w:val="16"/>
                <w:szCs w:val="16"/>
                <w:lang w:eastAsia="it-IT"/>
                <w14:ligatures w14:val="none"/>
              </w:rPr>
              <w:t>Int</w:t>
            </w:r>
            <w:r w:rsidR="00A65805" w:rsidRPr="009706E9">
              <w:rPr>
                <w:rFonts w:ascii="Arial" w:eastAsia="Times New Roman" w:hAnsi="Arial" w:cs="Arial"/>
                <w:b/>
                <w:bCs/>
                <w:color w:val="000000"/>
                <w:kern w:val="0"/>
                <w:sz w:val="16"/>
                <w:szCs w:val="16"/>
                <w:lang w:eastAsia="it-IT"/>
                <w14:ligatures w14:val="none"/>
              </w:rPr>
              <w:t>ernazionaliz</w:t>
            </w:r>
            <w:proofErr w:type="spellEnd"/>
            <w:r w:rsidR="003E44A9" w:rsidRPr="009706E9">
              <w:rPr>
                <w:rFonts w:ascii="Arial" w:eastAsia="Times New Roman" w:hAnsi="Arial" w:cs="Arial"/>
                <w:b/>
                <w:bCs/>
                <w:color w:val="000000"/>
                <w:kern w:val="0"/>
                <w:sz w:val="16"/>
                <w:szCs w:val="16"/>
                <w:lang w:eastAsia="it-IT"/>
                <w14:ligatures w14:val="none"/>
              </w:rPr>
              <w:t>-</w:t>
            </w:r>
          </w:p>
          <w:p w14:paraId="2A671D4B" w14:textId="754CED52" w:rsidR="00416F77" w:rsidRPr="009706E9" w:rsidRDefault="003E44A9" w:rsidP="00416F77">
            <w:pPr>
              <w:spacing w:line="240" w:lineRule="auto"/>
              <w:jc w:val="center"/>
              <w:rPr>
                <w:rFonts w:ascii="Arial" w:eastAsia="Times New Roman" w:hAnsi="Arial" w:cs="Arial"/>
                <w:b/>
                <w:bCs/>
                <w:color w:val="000000"/>
                <w:kern w:val="0"/>
                <w:sz w:val="16"/>
                <w:szCs w:val="16"/>
                <w:lang w:eastAsia="it-IT"/>
                <w14:ligatures w14:val="none"/>
              </w:rPr>
            </w:pPr>
            <w:proofErr w:type="spellStart"/>
            <w:r w:rsidRPr="009706E9">
              <w:rPr>
                <w:rFonts w:ascii="Arial" w:eastAsia="Times New Roman" w:hAnsi="Arial" w:cs="Arial"/>
                <w:b/>
                <w:bCs/>
                <w:color w:val="000000"/>
                <w:kern w:val="0"/>
                <w:sz w:val="16"/>
                <w:szCs w:val="16"/>
                <w:lang w:eastAsia="it-IT"/>
                <w14:ligatures w14:val="none"/>
              </w:rPr>
              <w:t>zati</w:t>
            </w:r>
            <w:proofErr w:type="spellEnd"/>
            <w:r w:rsidRPr="009706E9">
              <w:rPr>
                <w:rFonts w:ascii="Arial" w:eastAsia="Times New Roman" w:hAnsi="Arial" w:cs="Arial"/>
                <w:b/>
                <w:bCs/>
                <w:color w:val="000000"/>
                <w:kern w:val="0"/>
                <w:sz w:val="16"/>
                <w:szCs w:val="16"/>
                <w:lang w:eastAsia="it-IT"/>
                <w14:ligatures w14:val="none"/>
              </w:rPr>
              <w:t xml:space="preserve"> </w:t>
            </w:r>
            <w:r w:rsidR="00416F77" w:rsidRPr="009706E9">
              <w:rPr>
                <w:rFonts w:ascii="Arial" w:eastAsia="Times New Roman" w:hAnsi="Arial" w:cs="Arial"/>
                <w:b/>
                <w:bCs/>
                <w:color w:val="000000"/>
                <w:kern w:val="0"/>
                <w:sz w:val="16"/>
                <w:szCs w:val="16"/>
                <w:lang w:eastAsia="it-IT"/>
                <w14:ligatures w14:val="none"/>
              </w:rPr>
              <w:t>a 360°</w:t>
            </w:r>
          </w:p>
        </w:tc>
        <w:tc>
          <w:tcPr>
            <w:tcW w:w="811" w:type="pct"/>
            <w:tcBorders>
              <w:top w:val="nil"/>
              <w:left w:val="nil"/>
              <w:bottom w:val="nil"/>
              <w:right w:val="nil"/>
            </w:tcBorders>
            <w:shd w:val="clear" w:color="auto" w:fill="auto"/>
            <w:vAlign w:val="center"/>
            <w:hideMark/>
          </w:tcPr>
          <w:p w14:paraId="50DB83C3" w14:textId="3A00655F" w:rsidR="00416F77" w:rsidRPr="009706E9" w:rsidRDefault="00416F77" w:rsidP="00416F77">
            <w:pPr>
              <w:spacing w:line="240" w:lineRule="auto"/>
              <w:jc w:val="center"/>
              <w:rPr>
                <w:rFonts w:ascii="Arial" w:eastAsia="Times New Roman" w:hAnsi="Arial" w:cs="Arial"/>
                <w:b/>
                <w:bCs/>
                <w:color w:val="000000"/>
                <w:kern w:val="0"/>
                <w:sz w:val="16"/>
                <w:szCs w:val="16"/>
                <w:lang w:eastAsia="it-IT"/>
                <w14:ligatures w14:val="none"/>
              </w:rPr>
            </w:pPr>
            <w:r w:rsidRPr="009706E9">
              <w:rPr>
                <w:rFonts w:ascii="Arial" w:eastAsia="Times New Roman" w:hAnsi="Arial" w:cs="Arial"/>
                <w:b/>
                <w:bCs/>
                <w:color w:val="000000"/>
                <w:kern w:val="0"/>
                <w:sz w:val="16"/>
                <w:szCs w:val="16"/>
                <w:lang w:eastAsia="it-IT"/>
                <w14:ligatures w14:val="none"/>
              </w:rPr>
              <w:t>Esp</w:t>
            </w:r>
            <w:r w:rsidR="00A65805" w:rsidRPr="009706E9">
              <w:rPr>
                <w:rFonts w:ascii="Arial" w:eastAsia="Times New Roman" w:hAnsi="Arial" w:cs="Arial"/>
                <w:b/>
                <w:bCs/>
                <w:color w:val="000000"/>
                <w:kern w:val="0"/>
                <w:sz w:val="16"/>
                <w:szCs w:val="16"/>
                <w:lang w:eastAsia="it-IT"/>
                <w14:ligatures w14:val="none"/>
              </w:rPr>
              <w:t>ortatori g</w:t>
            </w:r>
            <w:r w:rsidRPr="009706E9">
              <w:rPr>
                <w:rFonts w:ascii="Arial" w:eastAsia="Times New Roman" w:hAnsi="Arial" w:cs="Arial"/>
                <w:b/>
                <w:bCs/>
                <w:color w:val="000000"/>
                <w:kern w:val="0"/>
                <w:sz w:val="16"/>
                <w:szCs w:val="16"/>
                <w:lang w:eastAsia="it-IT"/>
                <w14:ligatures w14:val="none"/>
              </w:rPr>
              <w:t>lobali</w:t>
            </w:r>
          </w:p>
        </w:tc>
        <w:tc>
          <w:tcPr>
            <w:tcW w:w="811" w:type="pct"/>
            <w:tcBorders>
              <w:top w:val="nil"/>
              <w:left w:val="nil"/>
              <w:bottom w:val="nil"/>
              <w:right w:val="nil"/>
            </w:tcBorders>
            <w:shd w:val="clear" w:color="auto" w:fill="auto"/>
            <w:vAlign w:val="center"/>
            <w:hideMark/>
          </w:tcPr>
          <w:p w14:paraId="105AAE8D" w14:textId="3DF3F029" w:rsidR="00416F77" w:rsidRPr="00416F77" w:rsidRDefault="00A65805" w:rsidP="00416F77">
            <w:pPr>
              <w:spacing w:line="240" w:lineRule="auto"/>
              <w:jc w:val="center"/>
              <w:rPr>
                <w:rFonts w:ascii="Arial" w:eastAsia="Times New Roman" w:hAnsi="Arial" w:cs="Arial"/>
                <w:b/>
                <w:bCs/>
                <w:color w:val="000000"/>
                <w:kern w:val="0"/>
                <w:sz w:val="16"/>
                <w:szCs w:val="16"/>
                <w:lang w:eastAsia="it-IT"/>
                <w14:ligatures w14:val="none"/>
              </w:rPr>
            </w:pPr>
            <w:r w:rsidRPr="002B3C1B">
              <w:rPr>
                <w:rFonts w:ascii="Arial" w:eastAsia="Times New Roman" w:hAnsi="Arial" w:cs="Arial"/>
                <w:b/>
                <w:bCs/>
                <w:color w:val="000000"/>
                <w:kern w:val="0"/>
                <w:sz w:val="16"/>
                <w:szCs w:val="16"/>
                <w:lang w:eastAsia="it-IT"/>
                <w14:ligatures w14:val="none"/>
              </w:rPr>
              <w:t>Esportatori attenti al mercato domestico</w:t>
            </w:r>
          </w:p>
        </w:tc>
        <w:tc>
          <w:tcPr>
            <w:tcW w:w="811" w:type="pct"/>
            <w:tcBorders>
              <w:top w:val="nil"/>
              <w:left w:val="nil"/>
              <w:bottom w:val="nil"/>
              <w:right w:val="nil"/>
            </w:tcBorders>
            <w:shd w:val="clear" w:color="auto" w:fill="auto"/>
            <w:vAlign w:val="center"/>
            <w:hideMark/>
          </w:tcPr>
          <w:p w14:paraId="01E7217B" w14:textId="77777777" w:rsidR="00416F77" w:rsidRPr="00416F77" w:rsidRDefault="00416F77" w:rsidP="00416F77">
            <w:pPr>
              <w:spacing w:line="240" w:lineRule="auto"/>
              <w:jc w:val="center"/>
              <w:rPr>
                <w:rFonts w:ascii="Arial" w:eastAsia="Times New Roman" w:hAnsi="Arial" w:cs="Arial"/>
                <w:b/>
                <w:bCs/>
                <w:color w:val="000000"/>
                <w:kern w:val="0"/>
                <w:sz w:val="16"/>
                <w:szCs w:val="16"/>
                <w:lang w:eastAsia="it-IT"/>
                <w14:ligatures w14:val="none"/>
              </w:rPr>
            </w:pPr>
            <w:r w:rsidRPr="00416F77">
              <w:rPr>
                <w:rFonts w:ascii="Arial" w:eastAsia="Times New Roman" w:hAnsi="Arial" w:cs="Arial"/>
                <w:b/>
                <w:bCs/>
                <w:color w:val="000000"/>
                <w:kern w:val="0"/>
                <w:sz w:val="16"/>
                <w:szCs w:val="16"/>
                <w:lang w:eastAsia="it-IT"/>
                <w14:ligatures w14:val="none"/>
              </w:rPr>
              <w:t>Esportatori occasionali/non esportatori</w:t>
            </w:r>
          </w:p>
        </w:tc>
        <w:tc>
          <w:tcPr>
            <w:tcW w:w="811" w:type="pct"/>
            <w:tcBorders>
              <w:top w:val="nil"/>
              <w:left w:val="nil"/>
              <w:bottom w:val="nil"/>
              <w:right w:val="nil"/>
            </w:tcBorders>
            <w:shd w:val="clear" w:color="auto" w:fill="auto"/>
            <w:vAlign w:val="center"/>
            <w:hideMark/>
          </w:tcPr>
          <w:p w14:paraId="1AFC1F63" w14:textId="77777777" w:rsidR="00416F77" w:rsidRPr="00416F77" w:rsidRDefault="00416F77" w:rsidP="00416F77">
            <w:pPr>
              <w:spacing w:line="240" w:lineRule="auto"/>
              <w:jc w:val="center"/>
              <w:rPr>
                <w:rFonts w:ascii="Arial" w:eastAsia="Times New Roman" w:hAnsi="Arial" w:cs="Arial"/>
                <w:b/>
                <w:bCs/>
                <w:color w:val="000000"/>
                <w:kern w:val="0"/>
                <w:sz w:val="16"/>
                <w:szCs w:val="16"/>
                <w:lang w:eastAsia="it-IT"/>
                <w14:ligatures w14:val="none"/>
              </w:rPr>
            </w:pPr>
            <w:r w:rsidRPr="00416F77">
              <w:rPr>
                <w:rFonts w:ascii="Arial" w:eastAsia="Times New Roman" w:hAnsi="Arial" w:cs="Arial"/>
                <w:b/>
                <w:bCs/>
                <w:color w:val="000000"/>
                <w:kern w:val="0"/>
                <w:sz w:val="16"/>
                <w:szCs w:val="16"/>
                <w:lang w:eastAsia="it-IT"/>
                <w14:ligatures w14:val="none"/>
              </w:rPr>
              <w:t>Valore medio</w:t>
            </w:r>
          </w:p>
        </w:tc>
      </w:tr>
      <w:tr w:rsidR="00416F77" w:rsidRPr="00416F77" w14:paraId="4CA78D28" w14:textId="77777777" w:rsidTr="00416F77">
        <w:trPr>
          <w:trHeight w:val="288"/>
        </w:trPr>
        <w:tc>
          <w:tcPr>
            <w:tcW w:w="947" w:type="pct"/>
            <w:tcBorders>
              <w:top w:val="nil"/>
              <w:left w:val="nil"/>
              <w:bottom w:val="nil"/>
              <w:right w:val="nil"/>
            </w:tcBorders>
            <w:shd w:val="clear" w:color="auto" w:fill="auto"/>
            <w:noWrap/>
            <w:vAlign w:val="center"/>
            <w:hideMark/>
          </w:tcPr>
          <w:p w14:paraId="00349DBF"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1-49 addetti</w:t>
            </w:r>
          </w:p>
        </w:tc>
        <w:tc>
          <w:tcPr>
            <w:tcW w:w="811" w:type="pct"/>
            <w:tcBorders>
              <w:top w:val="nil"/>
              <w:left w:val="nil"/>
              <w:bottom w:val="nil"/>
              <w:right w:val="nil"/>
            </w:tcBorders>
            <w:shd w:val="clear" w:color="000000" w:fill="AFDDBD"/>
            <w:noWrap/>
            <w:vAlign w:val="center"/>
            <w:hideMark/>
          </w:tcPr>
          <w:p w14:paraId="7D94484E"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38,5</w:t>
            </w:r>
          </w:p>
        </w:tc>
        <w:tc>
          <w:tcPr>
            <w:tcW w:w="811" w:type="pct"/>
            <w:tcBorders>
              <w:top w:val="nil"/>
              <w:left w:val="nil"/>
              <w:bottom w:val="nil"/>
              <w:right w:val="nil"/>
            </w:tcBorders>
            <w:shd w:val="clear" w:color="000000" w:fill="A1D8B1"/>
            <w:noWrap/>
            <w:vAlign w:val="center"/>
            <w:hideMark/>
          </w:tcPr>
          <w:p w14:paraId="3CA6C0B7"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44,8</w:t>
            </w:r>
          </w:p>
        </w:tc>
        <w:tc>
          <w:tcPr>
            <w:tcW w:w="811" w:type="pct"/>
            <w:tcBorders>
              <w:top w:val="nil"/>
              <w:left w:val="nil"/>
              <w:bottom w:val="nil"/>
              <w:right w:val="nil"/>
            </w:tcBorders>
            <w:shd w:val="clear" w:color="000000" w:fill="8BCE9D"/>
            <w:noWrap/>
            <w:vAlign w:val="center"/>
            <w:hideMark/>
          </w:tcPr>
          <w:p w14:paraId="643BEF64"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55</w:t>
            </w:r>
          </w:p>
        </w:tc>
        <w:tc>
          <w:tcPr>
            <w:tcW w:w="811" w:type="pct"/>
            <w:tcBorders>
              <w:top w:val="nil"/>
              <w:left w:val="nil"/>
              <w:bottom w:val="nil"/>
              <w:right w:val="nil"/>
            </w:tcBorders>
            <w:shd w:val="clear" w:color="000000" w:fill="63BE7B"/>
            <w:noWrap/>
            <w:vAlign w:val="center"/>
            <w:hideMark/>
          </w:tcPr>
          <w:p w14:paraId="6A5BB108"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72,8</w:t>
            </w:r>
          </w:p>
        </w:tc>
        <w:tc>
          <w:tcPr>
            <w:tcW w:w="811" w:type="pct"/>
            <w:tcBorders>
              <w:top w:val="nil"/>
              <w:left w:val="nil"/>
              <w:bottom w:val="nil"/>
              <w:right w:val="nil"/>
            </w:tcBorders>
            <w:shd w:val="clear" w:color="auto" w:fill="auto"/>
            <w:noWrap/>
            <w:vAlign w:val="center"/>
            <w:hideMark/>
          </w:tcPr>
          <w:p w14:paraId="5AA37AB6"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55,3</w:t>
            </w:r>
          </w:p>
        </w:tc>
      </w:tr>
      <w:tr w:rsidR="00416F77" w:rsidRPr="00416F77" w14:paraId="76915496" w14:textId="77777777" w:rsidTr="00416F77">
        <w:trPr>
          <w:trHeight w:val="288"/>
        </w:trPr>
        <w:tc>
          <w:tcPr>
            <w:tcW w:w="947" w:type="pct"/>
            <w:tcBorders>
              <w:top w:val="nil"/>
              <w:left w:val="nil"/>
              <w:bottom w:val="nil"/>
              <w:right w:val="nil"/>
            </w:tcBorders>
            <w:shd w:val="clear" w:color="auto" w:fill="auto"/>
            <w:noWrap/>
            <w:vAlign w:val="center"/>
            <w:hideMark/>
          </w:tcPr>
          <w:p w14:paraId="52DF06BB"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50-249 addetti</w:t>
            </w:r>
          </w:p>
        </w:tc>
        <w:tc>
          <w:tcPr>
            <w:tcW w:w="811" w:type="pct"/>
            <w:tcBorders>
              <w:top w:val="nil"/>
              <w:left w:val="nil"/>
              <w:bottom w:val="nil"/>
              <w:right w:val="nil"/>
            </w:tcBorders>
            <w:shd w:val="clear" w:color="000000" w:fill="CCE9D5"/>
            <w:noWrap/>
            <w:vAlign w:val="center"/>
            <w:hideMark/>
          </w:tcPr>
          <w:p w14:paraId="51120D8C"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25,6</w:t>
            </w:r>
          </w:p>
        </w:tc>
        <w:tc>
          <w:tcPr>
            <w:tcW w:w="811" w:type="pct"/>
            <w:tcBorders>
              <w:top w:val="nil"/>
              <w:left w:val="nil"/>
              <w:bottom w:val="nil"/>
              <w:right w:val="nil"/>
            </w:tcBorders>
            <w:shd w:val="clear" w:color="000000" w:fill="A7DAB5"/>
            <w:noWrap/>
            <w:vAlign w:val="center"/>
            <w:hideMark/>
          </w:tcPr>
          <w:p w14:paraId="3C9E96FD"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42,4</w:t>
            </w:r>
          </w:p>
        </w:tc>
        <w:tc>
          <w:tcPr>
            <w:tcW w:w="811" w:type="pct"/>
            <w:tcBorders>
              <w:top w:val="nil"/>
              <w:left w:val="nil"/>
              <w:bottom w:val="nil"/>
              <w:right w:val="nil"/>
            </w:tcBorders>
            <w:shd w:val="clear" w:color="000000" w:fill="AADBB9"/>
            <w:noWrap/>
            <w:vAlign w:val="center"/>
            <w:hideMark/>
          </w:tcPr>
          <w:p w14:paraId="2B134DAA"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40,7</w:t>
            </w:r>
          </w:p>
        </w:tc>
        <w:tc>
          <w:tcPr>
            <w:tcW w:w="811" w:type="pct"/>
            <w:tcBorders>
              <w:top w:val="nil"/>
              <w:left w:val="nil"/>
              <w:bottom w:val="nil"/>
              <w:right w:val="nil"/>
            </w:tcBorders>
            <w:shd w:val="clear" w:color="000000" w:fill="D0EAD9"/>
            <w:noWrap/>
            <w:vAlign w:val="center"/>
            <w:hideMark/>
          </w:tcPr>
          <w:p w14:paraId="1E973FDD"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23,7</w:t>
            </w:r>
          </w:p>
        </w:tc>
        <w:tc>
          <w:tcPr>
            <w:tcW w:w="811" w:type="pct"/>
            <w:tcBorders>
              <w:top w:val="nil"/>
              <w:left w:val="nil"/>
              <w:bottom w:val="nil"/>
              <w:right w:val="nil"/>
            </w:tcBorders>
            <w:shd w:val="clear" w:color="auto" w:fill="auto"/>
            <w:noWrap/>
            <w:vAlign w:val="center"/>
            <w:hideMark/>
          </w:tcPr>
          <w:p w14:paraId="2B79B13E"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35,9</w:t>
            </w:r>
          </w:p>
        </w:tc>
      </w:tr>
      <w:tr w:rsidR="00416F77" w:rsidRPr="00416F77" w14:paraId="02A35061" w14:textId="77777777" w:rsidTr="00416F77">
        <w:trPr>
          <w:trHeight w:val="288"/>
        </w:trPr>
        <w:tc>
          <w:tcPr>
            <w:tcW w:w="947" w:type="pct"/>
            <w:tcBorders>
              <w:top w:val="nil"/>
              <w:left w:val="nil"/>
              <w:bottom w:val="nil"/>
              <w:right w:val="nil"/>
            </w:tcBorders>
            <w:shd w:val="clear" w:color="auto" w:fill="auto"/>
            <w:noWrap/>
            <w:vAlign w:val="center"/>
            <w:hideMark/>
          </w:tcPr>
          <w:p w14:paraId="4067001E"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250+ addetti</w:t>
            </w:r>
          </w:p>
        </w:tc>
        <w:tc>
          <w:tcPr>
            <w:tcW w:w="811" w:type="pct"/>
            <w:tcBorders>
              <w:top w:val="nil"/>
              <w:left w:val="nil"/>
              <w:bottom w:val="nil"/>
              <w:right w:val="nil"/>
            </w:tcBorders>
            <w:shd w:val="clear" w:color="000000" w:fill="B5E0C2"/>
            <w:noWrap/>
            <w:vAlign w:val="center"/>
            <w:hideMark/>
          </w:tcPr>
          <w:p w14:paraId="4A7C6207"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35,9</w:t>
            </w:r>
          </w:p>
        </w:tc>
        <w:tc>
          <w:tcPr>
            <w:tcW w:w="811" w:type="pct"/>
            <w:tcBorders>
              <w:top w:val="nil"/>
              <w:left w:val="nil"/>
              <w:bottom w:val="nil"/>
              <w:right w:val="nil"/>
            </w:tcBorders>
            <w:shd w:val="clear" w:color="000000" w:fill="E8F4EE"/>
            <w:noWrap/>
            <w:vAlign w:val="center"/>
            <w:hideMark/>
          </w:tcPr>
          <w:p w14:paraId="20C98C4C"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12,9</w:t>
            </w:r>
          </w:p>
        </w:tc>
        <w:tc>
          <w:tcPr>
            <w:tcW w:w="811" w:type="pct"/>
            <w:tcBorders>
              <w:top w:val="nil"/>
              <w:left w:val="nil"/>
              <w:bottom w:val="nil"/>
              <w:right w:val="nil"/>
            </w:tcBorders>
            <w:shd w:val="clear" w:color="000000" w:fill="FBFCFE"/>
            <w:noWrap/>
            <w:vAlign w:val="center"/>
            <w:hideMark/>
          </w:tcPr>
          <w:p w14:paraId="6F180CB5"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4,3</w:t>
            </w:r>
          </w:p>
        </w:tc>
        <w:tc>
          <w:tcPr>
            <w:tcW w:w="811" w:type="pct"/>
            <w:tcBorders>
              <w:top w:val="nil"/>
              <w:left w:val="nil"/>
              <w:bottom w:val="nil"/>
              <w:right w:val="nil"/>
            </w:tcBorders>
            <w:shd w:val="clear" w:color="000000" w:fill="FCFCFF"/>
            <w:noWrap/>
            <w:vAlign w:val="center"/>
            <w:hideMark/>
          </w:tcPr>
          <w:p w14:paraId="08AC7870"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3,6</w:t>
            </w:r>
          </w:p>
        </w:tc>
        <w:tc>
          <w:tcPr>
            <w:tcW w:w="811" w:type="pct"/>
            <w:tcBorders>
              <w:top w:val="nil"/>
              <w:left w:val="nil"/>
              <w:bottom w:val="nil"/>
              <w:right w:val="nil"/>
            </w:tcBorders>
            <w:shd w:val="clear" w:color="auto" w:fill="auto"/>
            <w:noWrap/>
            <w:vAlign w:val="center"/>
            <w:hideMark/>
          </w:tcPr>
          <w:p w14:paraId="5B951DC1"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8,8</w:t>
            </w:r>
          </w:p>
        </w:tc>
      </w:tr>
      <w:tr w:rsidR="00416F77" w:rsidRPr="00416F77" w14:paraId="09BF0F52" w14:textId="77777777" w:rsidTr="00416F77">
        <w:trPr>
          <w:trHeight w:val="288"/>
        </w:trPr>
        <w:tc>
          <w:tcPr>
            <w:tcW w:w="947" w:type="pct"/>
            <w:tcBorders>
              <w:top w:val="nil"/>
              <w:left w:val="nil"/>
              <w:bottom w:val="nil"/>
              <w:right w:val="nil"/>
            </w:tcBorders>
            <w:shd w:val="clear" w:color="auto" w:fill="auto"/>
            <w:noWrap/>
            <w:vAlign w:val="center"/>
            <w:hideMark/>
          </w:tcPr>
          <w:p w14:paraId="4E4F55DB"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Totale</w:t>
            </w:r>
          </w:p>
        </w:tc>
        <w:tc>
          <w:tcPr>
            <w:tcW w:w="811" w:type="pct"/>
            <w:tcBorders>
              <w:top w:val="nil"/>
              <w:left w:val="nil"/>
              <w:bottom w:val="nil"/>
              <w:right w:val="nil"/>
            </w:tcBorders>
            <w:shd w:val="clear" w:color="auto" w:fill="auto"/>
            <w:noWrap/>
            <w:vAlign w:val="center"/>
            <w:hideMark/>
          </w:tcPr>
          <w:p w14:paraId="549D8A60"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100</w:t>
            </w:r>
          </w:p>
        </w:tc>
        <w:tc>
          <w:tcPr>
            <w:tcW w:w="811" w:type="pct"/>
            <w:tcBorders>
              <w:top w:val="nil"/>
              <w:left w:val="nil"/>
              <w:bottom w:val="nil"/>
              <w:right w:val="nil"/>
            </w:tcBorders>
            <w:shd w:val="clear" w:color="auto" w:fill="auto"/>
            <w:noWrap/>
            <w:vAlign w:val="center"/>
            <w:hideMark/>
          </w:tcPr>
          <w:p w14:paraId="3AD27139"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100</w:t>
            </w:r>
          </w:p>
        </w:tc>
        <w:tc>
          <w:tcPr>
            <w:tcW w:w="811" w:type="pct"/>
            <w:tcBorders>
              <w:top w:val="nil"/>
              <w:left w:val="nil"/>
              <w:bottom w:val="nil"/>
              <w:right w:val="nil"/>
            </w:tcBorders>
            <w:shd w:val="clear" w:color="auto" w:fill="auto"/>
            <w:noWrap/>
            <w:vAlign w:val="center"/>
            <w:hideMark/>
          </w:tcPr>
          <w:p w14:paraId="364E6436"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100</w:t>
            </w:r>
          </w:p>
        </w:tc>
        <w:tc>
          <w:tcPr>
            <w:tcW w:w="811" w:type="pct"/>
            <w:tcBorders>
              <w:top w:val="nil"/>
              <w:left w:val="nil"/>
              <w:bottom w:val="nil"/>
              <w:right w:val="nil"/>
            </w:tcBorders>
            <w:shd w:val="clear" w:color="auto" w:fill="auto"/>
            <w:noWrap/>
            <w:vAlign w:val="center"/>
            <w:hideMark/>
          </w:tcPr>
          <w:p w14:paraId="7867308C"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100</w:t>
            </w:r>
          </w:p>
        </w:tc>
        <w:tc>
          <w:tcPr>
            <w:tcW w:w="811" w:type="pct"/>
            <w:tcBorders>
              <w:top w:val="nil"/>
              <w:left w:val="nil"/>
              <w:bottom w:val="nil"/>
              <w:right w:val="nil"/>
            </w:tcBorders>
            <w:shd w:val="clear" w:color="auto" w:fill="auto"/>
            <w:noWrap/>
            <w:vAlign w:val="center"/>
            <w:hideMark/>
          </w:tcPr>
          <w:p w14:paraId="29BE6F42" w14:textId="77777777" w:rsidR="00416F77" w:rsidRPr="00416F77" w:rsidRDefault="00416F77" w:rsidP="00416F77">
            <w:pPr>
              <w:spacing w:line="240" w:lineRule="auto"/>
              <w:jc w:val="center"/>
              <w:rPr>
                <w:rFonts w:ascii="Arial" w:eastAsia="Times New Roman" w:hAnsi="Arial" w:cs="Arial"/>
                <w:color w:val="000000"/>
                <w:kern w:val="0"/>
                <w:sz w:val="16"/>
                <w:szCs w:val="16"/>
                <w:lang w:eastAsia="it-IT"/>
                <w14:ligatures w14:val="none"/>
              </w:rPr>
            </w:pPr>
            <w:r w:rsidRPr="00416F77">
              <w:rPr>
                <w:rFonts w:ascii="Arial" w:eastAsia="Times New Roman" w:hAnsi="Arial" w:cs="Arial"/>
                <w:color w:val="000000"/>
                <w:kern w:val="0"/>
                <w:sz w:val="16"/>
                <w:szCs w:val="16"/>
                <w:lang w:eastAsia="it-IT"/>
                <w14:ligatures w14:val="none"/>
              </w:rPr>
              <w:t>100</w:t>
            </w:r>
          </w:p>
        </w:tc>
      </w:tr>
    </w:tbl>
    <w:p w14:paraId="4240791D" w14:textId="3722DFCA" w:rsidR="00297C17" w:rsidRPr="008C687E" w:rsidRDefault="00297C17" w:rsidP="00297C17">
      <w:pPr>
        <w:rPr>
          <w:sz w:val="14"/>
          <w:szCs w:val="14"/>
        </w:rPr>
      </w:pPr>
      <w:r w:rsidRPr="008C687E">
        <w:rPr>
          <w:sz w:val="18"/>
          <w:szCs w:val="18"/>
        </w:rPr>
        <w:t>Fonte: Fondazione Nord Est 2023 (649 casi)</w:t>
      </w:r>
    </w:p>
    <w:p w14:paraId="27AF851D" w14:textId="77777777" w:rsidR="00E8513C" w:rsidRDefault="00E8513C" w:rsidP="00BB25B4">
      <w:pPr>
        <w:rPr>
          <w:sz w:val="18"/>
          <w:szCs w:val="18"/>
        </w:rPr>
      </w:pPr>
    </w:p>
    <w:p w14:paraId="35A68671" w14:textId="77777777" w:rsidR="004B7E5E" w:rsidRDefault="004B7E5E" w:rsidP="00BB25B4">
      <w:pPr>
        <w:rPr>
          <w:sz w:val="18"/>
          <w:szCs w:val="18"/>
        </w:rPr>
      </w:pPr>
    </w:p>
    <w:p w14:paraId="2CA8E27C" w14:textId="2A408CEF" w:rsidR="00E8513C" w:rsidRDefault="00E8513C" w:rsidP="00E8513C">
      <w:pPr>
        <w:jc w:val="both"/>
        <w:rPr>
          <w:b/>
          <w:bCs/>
        </w:rPr>
      </w:pPr>
      <w:r>
        <w:rPr>
          <w:b/>
          <w:bCs/>
        </w:rPr>
        <w:t>Fig.</w:t>
      </w:r>
      <w:r w:rsidRPr="00537D0A">
        <w:rPr>
          <w:b/>
          <w:bCs/>
        </w:rPr>
        <w:t xml:space="preserve"> 2.</w:t>
      </w:r>
      <w:r>
        <w:rPr>
          <w:b/>
          <w:bCs/>
        </w:rPr>
        <w:t>4 -</w:t>
      </w:r>
      <w:r w:rsidRPr="00537D0A">
        <w:rPr>
          <w:b/>
          <w:bCs/>
        </w:rPr>
        <w:t xml:space="preserve"> Numerosità di imprese per cluster</w:t>
      </w:r>
      <w:r>
        <w:rPr>
          <w:b/>
          <w:bCs/>
        </w:rPr>
        <w:t xml:space="preserve"> e classe dimensionale (valori assoluti)</w:t>
      </w:r>
    </w:p>
    <w:p w14:paraId="0EC406BF" w14:textId="33C08C53" w:rsidR="001C5186" w:rsidRDefault="001C5186" w:rsidP="00E8513C">
      <w:pPr>
        <w:jc w:val="both"/>
        <w:rPr>
          <w:b/>
          <w:bCs/>
        </w:rPr>
      </w:pPr>
      <w:r>
        <w:rPr>
          <w:noProof/>
        </w:rPr>
        <w:lastRenderedPageBreak/>
        <w:drawing>
          <wp:inline distT="0" distB="0" distL="0" distR="0" wp14:anchorId="7CD42098" wp14:editId="50974A64">
            <wp:extent cx="6120130" cy="2667662"/>
            <wp:effectExtent l="0" t="0" r="0" b="0"/>
            <wp:docPr id="814580018" name="Grafico 1">
              <a:extLst xmlns:a="http://schemas.openxmlformats.org/drawingml/2006/main">
                <a:ext uri="{FF2B5EF4-FFF2-40B4-BE49-F238E27FC236}">
                  <a16:creationId xmlns:a16="http://schemas.microsoft.com/office/drawing/2014/main" id="{91B99CD1-7E39-9740-CE08-6A19F1FA7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A377A" w14:textId="6D77182F" w:rsidR="00BB25B4" w:rsidRPr="008C687E" w:rsidRDefault="00BB25B4" w:rsidP="00BB25B4">
      <w:pPr>
        <w:rPr>
          <w:sz w:val="14"/>
          <w:szCs w:val="14"/>
        </w:rPr>
      </w:pPr>
      <w:r w:rsidRPr="008C687E">
        <w:rPr>
          <w:sz w:val="18"/>
          <w:szCs w:val="18"/>
        </w:rPr>
        <w:t>Fonte: Fondazione Nord Est 2023 (649 casi)</w:t>
      </w:r>
    </w:p>
    <w:p w14:paraId="07EDBE35" w14:textId="77777777" w:rsidR="001B0626" w:rsidRDefault="001B0626" w:rsidP="00075241">
      <w:pPr>
        <w:rPr>
          <w:b/>
          <w:bCs/>
        </w:rPr>
      </w:pPr>
    </w:p>
    <w:p w14:paraId="432C3196" w14:textId="553198F4" w:rsidR="004F6006" w:rsidRDefault="004F6006" w:rsidP="00CC62BF">
      <w:pPr>
        <w:jc w:val="both"/>
        <w:rPr>
          <w:b/>
          <w:bCs/>
        </w:rPr>
      </w:pPr>
      <w:r>
        <w:t>Come è possibile notare dalle Tabelle 2.</w:t>
      </w:r>
      <w:r w:rsidR="005277B5">
        <w:t>2</w:t>
      </w:r>
      <w:r>
        <w:t xml:space="preserve"> e 2.</w:t>
      </w:r>
      <w:r w:rsidR="005277B5">
        <w:t>3 e dalle Figure 2.4 e 2.5</w:t>
      </w:r>
      <w:r>
        <w:t xml:space="preserve">, la differenza più accentuata la si può rilevare osservando </w:t>
      </w:r>
      <w:r w:rsidR="00314B2F">
        <w:t>i</w:t>
      </w:r>
      <w:r>
        <w:t xml:space="preserve">l segmento di imprese di </w:t>
      </w:r>
      <w:r w:rsidR="00314B2F">
        <w:t>maggiori</w:t>
      </w:r>
      <w:r>
        <w:t xml:space="preserve"> dimensioni. In particolare</w:t>
      </w:r>
      <w:r w:rsidR="00314B2F">
        <w:t>,</w:t>
      </w:r>
      <w:r>
        <w:t xml:space="preserve"> oltre un’impresa su tre </w:t>
      </w:r>
      <w:r w:rsidR="004A7F1D">
        <w:t>di quelle che</w:t>
      </w:r>
      <w:r>
        <w:t xml:space="preserve"> apparten</w:t>
      </w:r>
      <w:r w:rsidR="004A7F1D">
        <w:t>gono</w:t>
      </w:r>
      <w:r>
        <w:t xml:space="preserve"> al cluster </w:t>
      </w:r>
      <w:r w:rsidR="005277B5">
        <w:t xml:space="preserve">“Internazionalizzati a 360°” </w:t>
      </w:r>
      <w:r w:rsidR="00FA1C30">
        <w:t>ha</w:t>
      </w:r>
      <w:r>
        <w:t xml:space="preserve"> più di 250 addetti e nel 53,8% dei casi dichiara ricavi oltre i 50 milioni di </w:t>
      </w:r>
      <w:r w:rsidR="00EA2307">
        <w:t>euro</w:t>
      </w:r>
      <w:r>
        <w:t>. Si delineano</w:t>
      </w:r>
      <w:r w:rsidR="00E17887">
        <w:t xml:space="preserve"> quindi ulteriori differenze tra </w:t>
      </w:r>
      <w:r w:rsidR="005277B5">
        <w:t xml:space="preserve">quest’ultimo raggruppamento e il cluster “Esportatori </w:t>
      </w:r>
      <w:r w:rsidR="001B0ACF">
        <w:t>globali</w:t>
      </w:r>
      <w:r w:rsidR="005277B5">
        <w:t>”</w:t>
      </w:r>
      <w:r w:rsidR="006F4CB0">
        <w:t>,</w:t>
      </w:r>
      <w:r w:rsidR="00F15EDA">
        <w:t xml:space="preserve"> poiché</w:t>
      </w:r>
      <w:r w:rsidR="00BB544B">
        <w:t xml:space="preserve"> </w:t>
      </w:r>
      <w:r w:rsidR="00F15EDA">
        <w:t>e</w:t>
      </w:r>
      <w:r>
        <w:t>ntrambi raffiguran</w:t>
      </w:r>
      <w:r w:rsidR="00F15EDA">
        <w:t>o i</w:t>
      </w:r>
      <w:r>
        <w:t xml:space="preserve">mprese ampiamente internazionalizzate ma il primo </w:t>
      </w:r>
      <w:r w:rsidR="00D92E66">
        <w:t>è popolato in prevalenza da</w:t>
      </w:r>
      <w:r>
        <w:t xml:space="preserve"> </w:t>
      </w:r>
      <w:r w:rsidR="003F46AF">
        <w:t>imprese</w:t>
      </w:r>
      <w:r>
        <w:t xml:space="preserve"> di grandi dimensioni</w:t>
      </w:r>
      <w:r w:rsidR="00D92E66">
        <w:t>.</w:t>
      </w:r>
    </w:p>
    <w:p w14:paraId="2143D731" w14:textId="77777777" w:rsidR="004F6006" w:rsidRDefault="004F6006" w:rsidP="00075241">
      <w:pPr>
        <w:rPr>
          <w:b/>
          <w:bCs/>
        </w:rPr>
      </w:pPr>
    </w:p>
    <w:p w14:paraId="34473B08" w14:textId="77777777" w:rsidR="00380784" w:rsidRDefault="00380784" w:rsidP="00075241">
      <w:pPr>
        <w:rPr>
          <w:b/>
          <w:bCs/>
        </w:rPr>
      </w:pPr>
    </w:p>
    <w:p w14:paraId="580DE946" w14:textId="7D30F864" w:rsidR="00CC729D" w:rsidRDefault="00B02609" w:rsidP="00075241">
      <w:pPr>
        <w:rPr>
          <w:b/>
          <w:bCs/>
        </w:rPr>
      </w:pPr>
      <w:r>
        <w:rPr>
          <w:b/>
          <w:bCs/>
        </w:rPr>
        <w:t>Tab.</w:t>
      </w:r>
      <w:r w:rsidR="001B0626" w:rsidRPr="00537D0A">
        <w:rPr>
          <w:b/>
          <w:bCs/>
        </w:rPr>
        <w:t xml:space="preserve"> 2.</w:t>
      </w:r>
      <w:r w:rsidR="00E8513C">
        <w:rPr>
          <w:b/>
          <w:bCs/>
        </w:rPr>
        <w:t>3</w:t>
      </w:r>
      <w:r w:rsidR="00001846">
        <w:rPr>
          <w:b/>
          <w:bCs/>
        </w:rPr>
        <w:t xml:space="preserve"> -</w:t>
      </w:r>
      <w:r w:rsidR="001B0626" w:rsidRPr="00537D0A">
        <w:rPr>
          <w:b/>
          <w:bCs/>
        </w:rPr>
        <w:t xml:space="preserve"> Numerosità di imprese per cluster</w:t>
      </w:r>
      <w:r w:rsidR="001B0626">
        <w:rPr>
          <w:b/>
          <w:bCs/>
        </w:rPr>
        <w:t xml:space="preserve"> e classe di fatturato (valori percentuali)</w:t>
      </w:r>
    </w:p>
    <w:tbl>
      <w:tblPr>
        <w:tblW w:w="5000" w:type="pct"/>
        <w:tblLayout w:type="fixed"/>
        <w:tblCellMar>
          <w:left w:w="70" w:type="dxa"/>
          <w:right w:w="70" w:type="dxa"/>
        </w:tblCellMar>
        <w:tblLook w:val="04A0" w:firstRow="1" w:lastRow="0" w:firstColumn="1" w:lastColumn="0" w:noHBand="0" w:noVBand="1"/>
      </w:tblPr>
      <w:tblGrid>
        <w:gridCol w:w="2378"/>
        <w:gridCol w:w="1452"/>
        <w:gridCol w:w="1453"/>
        <w:gridCol w:w="1451"/>
        <w:gridCol w:w="1453"/>
        <w:gridCol w:w="1451"/>
      </w:tblGrid>
      <w:tr w:rsidR="003D0C36" w:rsidRPr="003D0C36" w14:paraId="5E38FAE6" w14:textId="77777777" w:rsidTr="003D0C36">
        <w:trPr>
          <w:trHeight w:val="691"/>
        </w:trPr>
        <w:tc>
          <w:tcPr>
            <w:tcW w:w="1233" w:type="pct"/>
            <w:tcBorders>
              <w:top w:val="nil"/>
              <w:left w:val="nil"/>
              <w:bottom w:val="nil"/>
              <w:right w:val="nil"/>
            </w:tcBorders>
            <w:shd w:val="clear" w:color="auto" w:fill="auto"/>
            <w:vAlign w:val="center"/>
            <w:hideMark/>
          </w:tcPr>
          <w:p w14:paraId="2990C366" w14:textId="77777777" w:rsidR="003D0C36" w:rsidRPr="003D0C36" w:rsidRDefault="003D0C36" w:rsidP="003D0C36">
            <w:pPr>
              <w:spacing w:line="240" w:lineRule="auto"/>
              <w:jc w:val="center"/>
              <w:rPr>
                <w:rFonts w:ascii="Arial" w:eastAsia="Times New Roman" w:hAnsi="Arial" w:cs="Arial"/>
                <w:b/>
                <w:bCs/>
                <w:color w:val="000000"/>
                <w:kern w:val="0"/>
                <w:sz w:val="16"/>
                <w:szCs w:val="16"/>
                <w:lang w:eastAsia="it-IT"/>
                <w14:ligatures w14:val="none"/>
              </w:rPr>
            </w:pPr>
            <w:r w:rsidRPr="003D0C36">
              <w:rPr>
                <w:rFonts w:ascii="Arial" w:eastAsia="Times New Roman" w:hAnsi="Arial" w:cs="Arial"/>
                <w:b/>
                <w:bCs/>
                <w:color w:val="000000"/>
                <w:kern w:val="0"/>
                <w:sz w:val="16"/>
                <w:szCs w:val="16"/>
                <w:lang w:eastAsia="it-IT"/>
                <w14:ligatures w14:val="none"/>
              </w:rPr>
              <w:t>Classe dimensionale (ricavi)</w:t>
            </w:r>
          </w:p>
        </w:tc>
        <w:tc>
          <w:tcPr>
            <w:tcW w:w="753" w:type="pct"/>
            <w:tcBorders>
              <w:top w:val="nil"/>
              <w:left w:val="nil"/>
              <w:bottom w:val="nil"/>
              <w:right w:val="nil"/>
            </w:tcBorders>
            <w:shd w:val="clear" w:color="auto" w:fill="auto"/>
            <w:vAlign w:val="center"/>
            <w:hideMark/>
          </w:tcPr>
          <w:p w14:paraId="244797B2" w14:textId="47114470" w:rsidR="003E44A9" w:rsidRPr="003E44A9" w:rsidRDefault="003D0C36" w:rsidP="003D0C36">
            <w:pPr>
              <w:spacing w:line="240" w:lineRule="auto"/>
              <w:jc w:val="center"/>
              <w:rPr>
                <w:rFonts w:ascii="Arial" w:eastAsia="Times New Roman" w:hAnsi="Arial" w:cs="Arial"/>
                <w:b/>
                <w:bCs/>
                <w:color w:val="000000"/>
                <w:kern w:val="0"/>
                <w:sz w:val="16"/>
                <w:szCs w:val="16"/>
                <w:highlight w:val="yellow"/>
                <w:lang w:eastAsia="it-IT"/>
                <w14:ligatures w14:val="none"/>
              </w:rPr>
            </w:pPr>
            <w:proofErr w:type="spellStart"/>
            <w:r w:rsidRPr="009706E9">
              <w:rPr>
                <w:rFonts w:ascii="Arial" w:eastAsia="Times New Roman" w:hAnsi="Arial" w:cs="Arial"/>
                <w:b/>
                <w:bCs/>
                <w:color w:val="000000"/>
                <w:kern w:val="0"/>
                <w:sz w:val="16"/>
                <w:szCs w:val="16"/>
                <w:lang w:eastAsia="it-IT"/>
                <w14:ligatures w14:val="none"/>
              </w:rPr>
              <w:t>Int</w:t>
            </w:r>
            <w:r w:rsidR="003E44A9" w:rsidRPr="009706E9">
              <w:rPr>
                <w:rFonts w:ascii="Arial" w:eastAsia="Times New Roman" w:hAnsi="Arial" w:cs="Arial"/>
                <w:b/>
                <w:bCs/>
                <w:color w:val="000000"/>
                <w:kern w:val="0"/>
                <w:sz w:val="16"/>
                <w:szCs w:val="16"/>
                <w:lang w:eastAsia="it-IT"/>
                <w14:ligatures w14:val="none"/>
              </w:rPr>
              <w:t>ernazionaliz</w:t>
            </w:r>
            <w:proofErr w:type="spellEnd"/>
            <w:r w:rsidR="003E44A9" w:rsidRPr="003E44A9">
              <w:rPr>
                <w:rFonts w:ascii="Arial" w:eastAsia="Times New Roman" w:hAnsi="Arial" w:cs="Arial"/>
                <w:b/>
                <w:bCs/>
                <w:color w:val="000000"/>
                <w:kern w:val="0"/>
                <w:sz w:val="16"/>
                <w:szCs w:val="16"/>
                <w:highlight w:val="yellow"/>
                <w:lang w:eastAsia="it-IT"/>
                <w14:ligatures w14:val="none"/>
              </w:rPr>
              <w:t>-</w:t>
            </w:r>
          </w:p>
          <w:p w14:paraId="31A4E2D1" w14:textId="2925A56A" w:rsidR="003D0C36" w:rsidRPr="003D0C36" w:rsidRDefault="003E44A9" w:rsidP="003D0C36">
            <w:pPr>
              <w:spacing w:line="240" w:lineRule="auto"/>
              <w:jc w:val="center"/>
              <w:rPr>
                <w:rFonts w:ascii="Arial" w:eastAsia="Times New Roman" w:hAnsi="Arial" w:cs="Arial"/>
                <w:b/>
                <w:bCs/>
                <w:color w:val="000000"/>
                <w:kern w:val="0"/>
                <w:sz w:val="16"/>
                <w:szCs w:val="16"/>
                <w:lang w:eastAsia="it-IT"/>
                <w14:ligatures w14:val="none"/>
              </w:rPr>
            </w:pPr>
            <w:proofErr w:type="spellStart"/>
            <w:r w:rsidRPr="009706E9">
              <w:rPr>
                <w:rFonts w:ascii="Arial" w:eastAsia="Times New Roman" w:hAnsi="Arial" w:cs="Arial"/>
                <w:b/>
                <w:bCs/>
                <w:color w:val="000000"/>
                <w:kern w:val="0"/>
                <w:sz w:val="16"/>
                <w:szCs w:val="16"/>
                <w:lang w:eastAsia="it-IT"/>
                <w14:ligatures w14:val="none"/>
              </w:rPr>
              <w:t>zati</w:t>
            </w:r>
            <w:proofErr w:type="spellEnd"/>
            <w:r w:rsidRPr="009706E9">
              <w:rPr>
                <w:rFonts w:ascii="Arial" w:eastAsia="Times New Roman" w:hAnsi="Arial" w:cs="Arial"/>
                <w:b/>
                <w:bCs/>
                <w:color w:val="000000"/>
                <w:kern w:val="0"/>
                <w:sz w:val="16"/>
                <w:szCs w:val="16"/>
                <w:lang w:eastAsia="it-IT"/>
                <w14:ligatures w14:val="none"/>
              </w:rPr>
              <w:t xml:space="preserve"> </w:t>
            </w:r>
            <w:r w:rsidR="003D0C36" w:rsidRPr="009706E9">
              <w:rPr>
                <w:rFonts w:ascii="Arial" w:eastAsia="Times New Roman" w:hAnsi="Arial" w:cs="Arial"/>
                <w:b/>
                <w:bCs/>
                <w:color w:val="000000"/>
                <w:kern w:val="0"/>
                <w:sz w:val="16"/>
                <w:szCs w:val="16"/>
                <w:lang w:eastAsia="it-IT"/>
                <w14:ligatures w14:val="none"/>
              </w:rPr>
              <w:t>a 360°</w:t>
            </w:r>
          </w:p>
        </w:tc>
        <w:tc>
          <w:tcPr>
            <w:tcW w:w="754" w:type="pct"/>
            <w:tcBorders>
              <w:top w:val="nil"/>
              <w:left w:val="nil"/>
              <w:bottom w:val="nil"/>
              <w:right w:val="nil"/>
            </w:tcBorders>
            <w:shd w:val="clear" w:color="auto" w:fill="auto"/>
            <w:vAlign w:val="center"/>
            <w:hideMark/>
          </w:tcPr>
          <w:p w14:paraId="1D9E3FB3" w14:textId="47B65364" w:rsidR="003D0C36" w:rsidRPr="003D0C36" w:rsidRDefault="003D0C36" w:rsidP="003D0C36">
            <w:pPr>
              <w:spacing w:line="240" w:lineRule="auto"/>
              <w:jc w:val="center"/>
              <w:rPr>
                <w:rFonts w:ascii="Arial" w:eastAsia="Times New Roman" w:hAnsi="Arial" w:cs="Arial"/>
                <w:b/>
                <w:bCs/>
                <w:color w:val="000000"/>
                <w:kern w:val="0"/>
                <w:sz w:val="16"/>
                <w:szCs w:val="16"/>
                <w:lang w:eastAsia="it-IT"/>
                <w14:ligatures w14:val="none"/>
              </w:rPr>
            </w:pPr>
            <w:r w:rsidRPr="003D0C36">
              <w:rPr>
                <w:rFonts w:ascii="Arial" w:eastAsia="Times New Roman" w:hAnsi="Arial" w:cs="Arial"/>
                <w:b/>
                <w:bCs/>
                <w:color w:val="000000"/>
                <w:kern w:val="0"/>
                <w:sz w:val="16"/>
                <w:szCs w:val="16"/>
                <w:lang w:eastAsia="it-IT"/>
                <w14:ligatures w14:val="none"/>
              </w:rPr>
              <w:t>Esp</w:t>
            </w:r>
            <w:r w:rsidR="00381ABD">
              <w:rPr>
                <w:rFonts w:ascii="Arial" w:eastAsia="Times New Roman" w:hAnsi="Arial" w:cs="Arial"/>
                <w:b/>
                <w:bCs/>
                <w:color w:val="000000"/>
                <w:kern w:val="0"/>
                <w:sz w:val="16"/>
                <w:szCs w:val="16"/>
                <w:lang w:eastAsia="it-IT"/>
                <w14:ligatures w14:val="none"/>
              </w:rPr>
              <w:t>ortatori</w:t>
            </w:r>
            <w:r w:rsidRPr="003D0C36">
              <w:rPr>
                <w:rFonts w:ascii="Arial" w:eastAsia="Times New Roman" w:hAnsi="Arial" w:cs="Arial"/>
                <w:b/>
                <w:bCs/>
                <w:color w:val="000000"/>
                <w:kern w:val="0"/>
                <w:sz w:val="16"/>
                <w:szCs w:val="16"/>
                <w:lang w:eastAsia="it-IT"/>
                <w14:ligatures w14:val="none"/>
              </w:rPr>
              <w:t xml:space="preserve"> </w:t>
            </w:r>
            <w:r w:rsidR="00381ABD">
              <w:rPr>
                <w:rFonts w:ascii="Arial" w:eastAsia="Times New Roman" w:hAnsi="Arial" w:cs="Arial"/>
                <w:b/>
                <w:bCs/>
                <w:color w:val="000000"/>
                <w:kern w:val="0"/>
                <w:sz w:val="16"/>
                <w:szCs w:val="16"/>
                <w:lang w:eastAsia="it-IT"/>
                <w14:ligatures w14:val="none"/>
              </w:rPr>
              <w:t>g</w:t>
            </w:r>
            <w:r w:rsidRPr="003D0C36">
              <w:rPr>
                <w:rFonts w:ascii="Arial" w:eastAsia="Times New Roman" w:hAnsi="Arial" w:cs="Arial"/>
                <w:b/>
                <w:bCs/>
                <w:color w:val="000000"/>
                <w:kern w:val="0"/>
                <w:sz w:val="16"/>
                <w:szCs w:val="16"/>
                <w:lang w:eastAsia="it-IT"/>
                <w14:ligatures w14:val="none"/>
              </w:rPr>
              <w:t>lobali</w:t>
            </w:r>
          </w:p>
        </w:tc>
        <w:tc>
          <w:tcPr>
            <w:tcW w:w="753" w:type="pct"/>
            <w:tcBorders>
              <w:top w:val="nil"/>
              <w:left w:val="nil"/>
              <w:bottom w:val="nil"/>
              <w:right w:val="nil"/>
            </w:tcBorders>
            <w:shd w:val="clear" w:color="auto" w:fill="auto"/>
            <w:vAlign w:val="center"/>
            <w:hideMark/>
          </w:tcPr>
          <w:p w14:paraId="5AFE6C59" w14:textId="17166D35" w:rsidR="003D0C36" w:rsidRPr="003D0C36" w:rsidRDefault="00381ABD" w:rsidP="003D0C36">
            <w:pPr>
              <w:spacing w:line="240" w:lineRule="auto"/>
              <w:jc w:val="center"/>
              <w:rPr>
                <w:rFonts w:ascii="Arial" w:eastAsia="Times New Roman" w:hAnsi="Arial" w:cs="Arial"/>
                <w:b/>
                <w:bCs/>
                <w:color w:val="000000"/>
                <w:kern w:val="0"/>
                <w:sz w:val="16"/>
                <w:szCs w:val="16"/>
                <w:lang w:eastAsia="it-IT"/>
                <w14:ligatures w14:val="none"/>
              </w:rPr>
            </w:pPr>
            <w:r w:rsidRPr="002B3C1B">
              <w:rPr>
                <w:rFonts w:ascii="Arial" w:eastAsia="Times New Roman" w:hAnsi="Arial" w:cs="Arial"/>
                <w:b/>
                <w:bCs/>
                <w:color w:val="000000"/>
                <w:kern w:val="0"/>
                <w:sz w:val="16"/>
                <w:szCs w:val="16"/>
                <w:lang w:eastAsia="it-IT"/>
                <w14:ligatures w14:val="none"/>
              </w:rPr>
              <w:t>Esportatori attenti al mercato domestico</w:t>
            </w:r>
          </w:p>
        </w:tc>
        <w:tc>
          <w:tcPr>
            <w:tcW w:w="754" w:type="pct"/>
            <w:tcBorders>
              <w:top w:val="nil"/>
              <w:left w:val="nil"/>
              <w:bottom w:val="nil"/>
              <w:right w:val="nil"/>
            </w:tcBorders>
            <w:shd w:val="clear" w:color="auto" w:fill="auto"/>
            <w:vAlign w:val="center"/>
            <w:hideMark/>
          </w:tcPr>
          <w:p w14:paraId="6D8F869E" w14:textId="77777777" w:rsidR="003D0C36" w:rsidRPr="003D0C36" w:rsidRDefault="003D0C36" w:rsidP="003D0C36">
            <w:pPr>
              <w:spacing w:line="240" w:lineRule="auto"/>
              <w:jc w:val="center"/>
              <w:rPr>
                <w:rFonts w:ascii="Arial" w:eastAsia="Times New Roman" w:hAnsi="Arial" w:cs="Arial"/>
                <w:b/>
                <w:bCs/>
                <w:color w:val="000000"/>
                <w:kern w:val="0"/>
                <w:sz w:val="16"/>
                <w:szCs w:val="16"/>
                <w:lang w:eastAsia="it-IT"/>
                <w14:ligatures w14:val="none"/>
              </w:rPr>
            </w:pPr>
            <w:r w:rsidRPr="003D0C36">
              <w:rPr>
                <w:rFonts w:ascii="Arial" w:eastAsia="Times New Roman" w:hAnsi="Arial" w:cs="Arial"/>
                <w:b/>
                <w:bCs/>
                <w:color w:val="000000"/>
                <w:kern w:val="0"/>
                <w:sz w:val="16"/>
                <w:szCs w:val="16"/>
                <w:lang w:eastAsia="it-IT"/>
                <w14:ligatures w14:val="none"/>
              </w:rPr>
              <w:t>Esportatori occasionali/non esportatori</w:t>
            </w:r>
          </w:p>
        </w:tc>
        <w:tc>
          <w:tcPr>
            <w:tcW w:w="754" w:type="pct"/>
            <w:tcBorders>
              <w:top w:val="nil"/>
              <w:left w:val="nil"/>
              <w:bottom w:val="nil"/>
              <w:right w:val="nil"/>
            </w:tcBorders>
            <w:shd w:val="clear" w:color="auto" w:fill="auto"/>
            <w:vAlign w:val="center"/>
            <w:hideMark/>
          </w:tcPr>
          <w:p w14:paraId="362C5801" w14:textId="77777777" w:rsidR="003D0C36" w:rsidRPr="003D0C36" w:rsidRDefault="003D0C36" w:rsidP="003D0C36">
            <w:pPr>
              <w:spacing w:line="240" w:lineRule="auto"/>
              <w:jc w:val="center"/>
              <w:rPr>
                <w:rFonts w:ascii="Arial" w:eastAsia="Times New Roman" w:hAnsi="Arial" w:cs="Arial"/>
                <w:b/>
                <w:bCs/>
                <w:color w:val="000000"/>
                <w:kern w:val="0"/>
                <w:sz w:val="16"/>
                <w:szCs w:val="16"/>
                <w:lang w:eastAsia="it-IT"/>
                <w14:ligatures w14:val="none"/>
              </w:rPr>
            </w:pPr>
            <w:r w:rsidRPr="003D0C36">
              <w:rPr>
                <w:rFonts w:ascii="Arial" w:eastAsia="Times New Roman" w:hAnsi="Arial" w:cs="Arial"/>
                <w:b/>
                <w:bCs/>
                <w:color w:val="000000"/>
                <w:kern w:val="0"/>
                <w:sz w:val="16"/>
                <w:szCs w:val="16"/>
                <w:lang w:eastAsia="it-IT"/>
                <w14:ligatures w14:val="none"/>
              </w:rPr>
              <w:t>Valore medio</w:t>
            </w:r>
          </w:p>
        </w:tc>
      </w:tr>
      <w:tr w:rsidR="003D0C36" w:rsidRPr="003D0C36" w14:paraId="2568E6E8" w14:textId="77777777" w:rsidTr="003D0C36">
        <w:trPr>
          <w:trHeight w:val="288"/>
        </w:trPr>
        <w:tc>
          <w:tcPr>
            <w:tcW w:w="1233" w:type="pct"/>
            <w:tcBorders>
              <w:top w:val="nil"/>
              <w:left w:val="nil"/>
              <w:bottom w:val="nil"/>
              <w:right w:val="nil"/>
            </w:tcBorders>
            <w:shd w:val="clear" w:color="auto" w:fill="auto"/>
            <w:noWrap/>
            <w:vAlign w:val="center"/>
            <w:hideMark/>
          </w:tcPr>
          <w:p w14:paraId="4AFE2FE8"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 xml:space="preserve">fino a </w:t>
            </w:r>
            <w:proofErr w:type="gramStart"/>
            <w:r w:rsidRPr="003D0C36">
              <w:rPr>
                <w:rFonts w:ascii="Arial" w:eastAsia="Times New Roman" w:hAnsi="Arial" w:cs="Arial"/>
                <w:color w:val="000000"/>
                <w:kern w:val="0"/>
                <w:sz w:val="16"/>
                <w:szCs w:val="16"/>
                <w:lang w:eastAsia="it-IT"/>
                <w14:ligatures w14:val="none"/>
              </w:rPr>
              <w:t>2</w:t>
            </w:r>
            <w:proofErr w:type="gramEnd"/>
            <w:r w:rsidRPr="003D0C36">
              <w:rPr>
                <w:rFonts w:ascii="Arial" w:eastAsia="Times New Roman" w:hAnsi="Arial" w:cs="Arial"/>
                <w:color w:val="000000"/>
                <w:kern w:val="0"/>
                <w:sz w:val="16"/>
                <w:szCs w:val="16"/>
                <w:lang w:eastAsia="it-IT"/>
                <w14:ligatures w14:val="none"/>
              </w:rPr>
              <w:t xml:space="preserve"> milioni di euro</w:t>
            </w:r>
          </w:p>
        </w:tc>
        <w:tc>
          <w:tcPr>
            <w:tcW w:w="753" w:type="pct"/>
            <w:tcBorders>
              <w:top w:val="nil"/>
              <w:left w:val="nil"/>
              <w:bottom w:val="nil"/>
              <w:right w:val="nil"/>
            </w:tcBorders>
            <w:shd w:val="clear" w:color="000000" w:fill="F9FBFD"/>
            <w:noWrap/>
            <w:vAlign w:val="center"/>
            <w:hideMark/>
          </w:tcPr>
          <w:p w14:paraId="1480B5C5"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5,1</w:t>
            </w:r>
          </w:p>
        </w:tc>
        <w:tc>
          <w:tcPr>
            <w:tcW w:w="754" w:type="pct"/>
            <w:tcBorders>
              <w:top w:val="nil"/>
              <w:left w:val="nil"/>
              <w:bottom w:val="nil"/>
              <w:right w:val="nil"/>
            </w:tcBorders>
            <w:shd w:val="clear" w:color="000000" w:fill="F2F8F6"/>
            <w:noWrap/>
            <w:vAlign w:val="center"/>
            <w:hideMark/>
          </w:tcPr>
          <w:p w14:paraId="28C9FBEB"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7,6</w:t>
            </w:r>
          </w:p>
        </w:tc>
        <w:tc>
          <w:tcPr>
            <w:tcW w:w="753" w:type="pct"/>
            <w:tcBorders>
              <w:top w:val="nil"/>
              <w:left w:val="nil"/>
              <w:bottom w:val="nil"/>
              <w:right w:val="nil"/>
            </w:tcBorders>
            <w:shd w:val="clear" w:color="000000" w:fill="F0F7F5"/>
            <w:noWrap/>
            <w:vAlign w:val="center"/>
            <w:hideMark/>
          </w:tcPr>
          <w:p w14:paraId="67D2266F"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8,2</w:t>
            </w:r>
          </w:p>
        </w:tc>
        <w:tc>
          <w:tcPr>
            <w:tcW w:w="754" w:type="pct"/>
            <w:tcBorders>
              <w:top w:val="nil"/>
              <w:left w:val="nil"/>
              <w:bottom w:val="nil"/>
              <w:right w:val="nil"/>
            </w:tcBorders>
            <w:shd w:val="clear" w:color="000000" w:fill="C9E8D3"/>
            <w:noWrap/>
            <w:vAlign w:val="center"/>
            <w:hideMark/>
          </w:tcPr>
          <w:p w14:paraId="041955C8"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20,7</w:t>
            </w:r>
          </w:p>
        </w:tc>
        <w:tc>
          <w:tcPr>
            <w:tcW w:w="754" w:type="pct"/>
            <w:tcBorders>
              <w:top w:val="nil"/>
              <w:left w:val="nil"/>
              <w:bottom w:val="nil"/>
              <w:right w:val="nil"/>
            </w:tcBorders>
            <w:shd w:val="clear" w:color="auto" w:fill="auto"/>
            <w:noWrap/>
            <w:vAlign w:val="center"/>
            <w:hideMark/>
          </w:tcPr>
          <w:p w14:paraId="5AFC8AE2"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11,1</w:t>
            </w:r>
          </w:p>
        </w:tc>
      </w:tr>
      <w:tr w:rsidR="003D0C36" w:rsidRPr="003D0C36" w14:paraId="152F9914" w14:textId="77777777" w:rsidTr="003D0C36">
        <w:trPr>
          <w:trHeight w:val="288"/>
        </w:trPr>
        <w:tc>
          <w:tcPr>
            <w:tcW w:w="1233" w:type="pct"/>
            <w:tcBorders>
              <w:top w:val="nil"/>
              <w:left w:val="nil"/>
              <w:bottom w:val="nil"/>
              <w:right w:val="nil"/>
            </w:tcBorders>
            <w:shd w:val="clear" w:color="auto" w:fill="auto"/>
            <w:noWrap/>
            <w:vAlign w:val="center"/>
            <w:hideMark/>
          </w:tcPr>
          <w:p w14:paraId="446F0DD9"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da 2 a 10 milioni di euro</w:t>
            </w:r>
          </w:p>
        </w:tc>
        <w:tc>
          <w:tcPr>
            <w:tcW w:w="753" w:type="pct"/>
            <w:tcBorders>
              <w:top w:val="nil"/>
              <w:left w:val="nil"/>
              <w:bottom w:val="nil"/>
              <w:right w:val="nil"/>
            </w:tcBorders>
            <w:shd w:val="clear" w:color="000000" w:fill="EAF5EF"/>
            <w:noWrap/>
            <w:vAlign w:val="center"/>
            <w:hideMark/>
          </w:tcPr>
          <w:p w14:paraId="7373272E"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10,3</w:t>
            </w:r>
          </w:p>
        </w:tc>
        <w:tc>
          <w:tcPr>
            <w:tcW w:w="754" w:type="pct"/>
            <w:tcBorders>
              <w:top w:val="nil"/>
              <w:left w:val="nil"/>
              <w:bottom w:val="nil"/>
              <w:right w:val="nil"/>
            </w:tcBorders>
            <w:shd w:val="clear" w:color="000000" w:fill="A6D9B5"/>
            <w:noWrap/>
            <w:vAlign w:val="center"/>
            <w:hideMark/>
          </w:tcPr>
          <w:p w14:paraId="23B2F863"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32,4</w:t>
            </w:r>
          </w:p>
        </w:tc>
        <w:tc>
          <w:tcPr>
            <w:tcW w:w="753" w:type="pct"/>
            <w:tcBorders>
              <w:top w:val="nil"/>
              <w:left w:val="nil"/>
              <w:bottom w:val="nil"/>
              <w:right w:val="nil"/>
            </w:tcBorders>
            <w:shd w:val="clear" w:color="000000" w:fill="90D1A2"/>
            <w:noWrap/>
            <w:vAlign w:val="center"/>
            <w:hideMark/>
          </w:tcPr>
          <w:p w14:paraId="23EFBE5D"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39,4</w:t>
            </w:r>
          </w:p>
        </w:tc>
        <w:tc>
          <w:tcPr>
            <w:tcW w:w="754" w:type="pct"/>
            <w:tcBorders>
              <w:top w:val="nil"/>
              <w:left w:val="nil"/>
              <w:bottom w:val="nil"/>
              <w:right w:val="nil"/>
            </w:tcBorders>
            <w:shd w:val="clear" w:color="000000" w:fill="78C78D"/>
            <w:noWrap/>
            <w:vAlign w:val="center"/>
            <w:hideMark/>
          </w:tcPr>
          <w:p w14:paraId="3F66CBCE"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47,3</w:t>
            </w:r>
          </w:p>
        </w:tc>
        <w:tc>
          <w:tcPr>
            <w:tcW w:w="754" w:type="pct"/>
            <w:tcBorders>
              <w:top w:val="nil"/>
              <w:left w:val="nil"/>
              <w:bottom w:val="nil"/>
              <w:right w:val="nil"/>
            </w:tcBorders>
            <w:shd w:val="clear" w:color="auto" w:fill="auto"/>
            <w:noWrap/>
            <w:vAlign w:val="center"/>
            <w:hideMark/>
          </w:tcPr>
          <w:p w14:paraId="65A56564"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37,4</w:t>
            </w:r>
          </w:p>
        </w:tc>
      </w:tr>
      <w:tr w:rsidR="003D0C36" w:rsidRPr="003D0C36" w14:paraId="4DAEF98E" w14:textId="77777777" w:rsidTr="003D0C36">
        <w:trPr>
          <w:trHeight w:val="288"/>
        </w:trPr>
        <w:tc>
          <w:tcPr>
            <w:tcW w:w="1233" w:type="pct"/>
            <w:tcBorders>
              <w:top w:val="nil"/>
              <w:left w:val="nil"/>
              <w:bottom w:val="nil"/>
              <w:right w:val="nil"/>
            </w:tcBorders>
            <w:shd w:val="clear" w:color="auto" w:fill="auto"/>
            <w:noWrap/>
            <w:vAlign w:val="center"/>
            <w:hideMark/>
          </w:tcPr>
          <w:p w14:paraId="5E104F62"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da 10 a 25 milioni di euro</w:t>
            </w:r>
          </w:p>
        </w:tc>
        <w:tc>
          <w:tcPr>
            <w:tcW w:w="753" w:type="pct"/>
            <w:tcBorders>
              <w:top w:val="nil"/>
              <w:left w:val="nil"/>
              <w:bottom w:val="nil"/>
              <w:right w:val="nil"/>
            </w:tcBorders>
            <w:shd w:val="clear" w:color="000000" w:fill="D2EBDB"/>
            <w:noWrap/>
            <w:vAlign w:val="center"/>
            <w:hideMark/>
          </w:tcPr>
          <w:p w14:paraId="32C24881"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17,9</w:t>
            </w:r>
          </w:p>
        </w:tc>
        <w:tc>
          <w:tcPr>
            <w:tcW w:w="754" w:type="pct"/>
            <w:tcBorders>
              <w:top w:val="nil"/>
              <w:left w:val="nil"/>
              <w:bottom w:val="nil"/>
              <w:right w:val="nil"/>
            </w:tcBorders>
            <w:shd w:val="clear" w:color="000000" w:fill="C0E4CB"/>
            <w:noWrap/>
            <w:vAlign w:val="center"/>
            <w:hideMark/>
          </w:tcPr>
          <w:p w14:paraId="626457E6"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23,8</w:t>
            </w:r>
          </w:p>
        </w:tc>
        <w:tc>
          <w:tcPr>
            <w:tcW w:w="753" w:type="pct"/>
            <w:tcBorders>
              <w:top w:val="nil"/>
              <w:left w:val="nil"/>
              <w:bottom w:val="nil"/>
              <w:right w:val="nil"/>
            </w:tcBorders>
            <w:shd w:val="clear" w:color="000000" w:fill="B7E0C3"/>
            <w:noWrap/>
            <w:vAlign w:val="center"/>
            <w:hideMark/>
          </w:tcPr>
          <w:p w14:paraId="3E8D06FE"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26,8</w:t>
            </w:r>
          </w:p>
        </w:tc>
        <w:tc>
          <w:tcPr>
            <w:tcW w:w="754" w:type="pct"/>
            <w:tcBorders>
              <w:top w:val="nil"/>
              <w:left w:val="nil"/>
              <w:bottom w:val="nil"/>
              <w:right w:val="nil"/>
            </w:tcBorders>
            <w:shd w:val="clear" w:color="000000" w:fill="CDE9D7"/>
            <w:noWrap/>
            <w:vAlign w:val="center"/>
            <w:hideMark/>
          </w:tcPr>
          <w:p w14:paraId="43522274"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19,5</w:t>
            </w:r>
          </w:p>
        </w:tc>
        <w:tc>
          <w:tcPr>
            <w:tcW w:w="754" w:type="pct"/>
            <w:tcBorders>
              <w:top w:val="nil"/>
              <w:left w:val="nil"/>
              <w:bottom w:val="nil"/>
              <w:right w:val="nil"/>
            </w:tcBorders>
            <w:shd w:val="clear" w:color="auto" w:fill="auto"/>
            <w:noWrap/>
            <w:vAlign w:val="center"/>
            <w:hideMark/>
          </w:tcPr>
          <w:p w14:paraId="4100905C"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23,4</w:t>
            </w:r>
          </w:p>
        </w:tc>
      </w:tr>
      <w:tr w:rsidR="003D0C36" w:rsidRPr="003D0C36" w14:paraId="34064C2F" w14:textId="77777777" w:rsidTr="003D0C36">
        <w:trPr>
          <w:trHeight w:val="288"/>
        </w:trPr>
        <w:tc>
          <w:tcPr>
            <w:tcW w:w="1233" w:type="pct"/>
            <w:tcBorders>
              <w:top w:val="nil"/>
              <w:left w:val="nil"/>
              <w:bottom w:val="nil"/>
              <w:right w:val="nil"/>
            </w:tcBorders>
            <w:shd w:val="clear" w:color="auto" w:fill="auto"/>
            <w:noWrap/>
            <w:vAlign w:val="center"/>
            <w:hideMark/>
          </w:tcPr>
          <w:p w14:paraId="4CA89826"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da 25 a 50 milioni di euro</w:t>
            </w:r>
          </w:p>
        </w:tc>
        <w:tc>
          <w:tcPr>
            <w:tcW w:w="753" w:type="pct"/>
            <w:tcBorders>
              <w:top w:val="nil"/>
              <w:left w:val="nil"/>
              <w:bottom w:val="nil"/>
              <w:right w:val="nil"/>
            </w:tcBorders>
            <w:shd w:val="clear" w:color="000000" w:fill="E2F2E8"/>
            <w:noWrap/>
            <w:vAlign w:val="center"/>
            <w:hideMark/>
          </w:tcPr>
          <w:p w14:paraId="7AE1C24B"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12,8</w:t>
            </w:r>
          </w:p>
        </w:tc>
        <w:tc>
          <w:tcPr>
            <w:tcW w:w="754" w:type="pct"/>
            <w:tcBorders>
              <w:top w:val="nil"/>
              <w:left w:val="nil"/>
              <w:bottom w:val="nil"/>
              <w:right w:val="nil"/>
            </w:tcBorders>
            <w:shd w:val="clear" w:color="000000" w:fill="D9EEE1"/>
            <w:noWrap/>
            <w:vAlign w:val="center"/>
            <w:hideMark/>
          </w:tcPr>
          <w:p w14:paraId="41E7A4F1"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15,7</w:t>
            </w:r>
          </w:p>
        </w:tc>
        <w:tc>
          <w:tcPr>
            <w:tcW w:w="753" w:type="pct"/>
            <w:tcBorders>
              <w:top w:val="nil"/>
              <w:left w:val="nil"/>
              <w:bottom w:val="nil"/>
              <w:right w:val="nil"/>
            </w:tcBorders>
            <w:shd w:val="clear" w:color="000000" w:fill="D9EEE1"/>
            <w:noWrap/>
            <w:vAlign w:val="center"/>
            <w:hideMark/>
          </w:tcPr>
          <w:p w14:paraId="6EAF8864"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15,6</w:t>
            </w:r>
          </w:p>
        </w:tc>
        <w:tc>
          <w:tcPr>
            <w:tcW w:w="754" w:type="pct"/>
            <w:tcBorders>
              <w:top w:val="nil"/>
              <w:left w:val="nil"/>
              <w:bottom w:val="nil"/>
              <w:right w:val="nil"/>
            </w:tcBorders>
            <w:shd w:val="clear" w:color="000000" w:fill="FCFCFF"/>
            <w:noWrap/>
            <w:vAlign w:val="center"/>
            <w:hideMark/>
          </w:tcPr>
          <w:p w14:paraId="5F10522C"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4,1</w:t>
            </w:r>
          </w:p>
        </w:tc>
        <w:tc>
          <w:tcPr>
            <w:tcW w:w="754" w:type="pct"/>
            <w:tcBorders>
              <w:top w:val="nil"/>
              <w:left w:val="nil"/>
              <w:bottom w:val="nil"/>
              <w:right w:val="nil"/>
            </w:tcBorders>
            <w:shd w:val="clear" w:color="auto" w:fill="auto"/>
            <w:noWrap/>
            <w:vAlign w:val="center"/>
            <w:hideMark/>
          </w:tcPr>
          <w:p w14:paraId="102D46EB"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12,5</w:t>
            </w:r>
          </w:p>
        </w:tc>
      </w:tr>
      <w:tr w:rsidR="003D0C36" w:rsidRPr="003D0C36" w14:paraId="34074634" w14:textId="77777777" w:rsidTr="003D0C36">
        <w:trPr>
          <w:trHeight w:val="288"/>
        </w:trPr>
        <w:tc>
          <w:tcPr>
            <w:tcW w:w="1233" w:type="pct"/>
            <w:tcBorders>
              <w:top w:val="nil"/>
              <w:left w:val="nil"/>
              <w:bottom w:val="nil"/>
              <w:right w:val="nil"/>
            </w:tcBorders>
            <w:shd w:val="clear" w:color="auto" w:fill="auto"/>
            <w:noWrap/>
            <w:vAlign w:val="center"/>
            <w:hideMark/>
          </w:tcPr>
          <w:p w14:paraId="70A5845B"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oltre 50 milioni di euro</w:t>
            </w:r>
          </w:p>
        </w:tc>
        <w:tc>
          <w:tcPr>
            <w:tcW w:w="753" w:type="pct"/>
            <w:tcBorders>
              <w:top w:val="nil"/>
              <w:left w:val="nil"/>
              <w:bottom w:val="nil"/>
              <w:right w:val="nil"/>
            </w:tcBorders>
            <w:shd w:val="clear" w:color="000000" w:fill="63BE7B"/>
            <w:noWrap/>
            <w:vAlign w:val="center"/>
            <w:hideMark/>
          </w:tcPr>
          <w:p w14:paraId="18D39CBC"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53,8</w:t>
            </w:r>
          </w:p>
        </w:tc>
        <w:tc>
          <w:tcPr>
            <w:tcW w:w="754" w:type="pct"/>
            <w:tcBorders>
              <w:top w:val="nil"/>
              <w:left w:val="nil"/>
              <w:bottom w:val="nil"/>
              <w:right w:val="nil"/>
            </w:tcBorders>
            <w:shd w:val="clear" w:color="000000" w:fill="CAE8D4"/>
            <w:noWrap/>
            <w:vAlign w:val="center"/>
            <w:hideMark/>
          </w:tcPr>
          <w:p w14:paraId="09308D93"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20,5</w:t>
            </w:r>
          </w:p>
        </w:tc>
        <w:tc>
          <w:tcPr>
            <w:tcW w:w="753" w:type="pct"/>
            <w:tcBorders>
              <w:top w:val="nil"/>
              <w:left w:val="nil"/>
              <w:bottom w:val="nil"/>
              <w:right w:val="nil"/>
            </w:tcBorders>
            <w:shd w:val="clear" w:color="000000" w:fill="EBF5F0"/>
            <w:noWrap/>
            <w:vAlign w:val="center"/>
            <w:hideMark/>
          </w:tcPr>
          <w:p w14:paraId="26B3F980"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w:t>
            </w:r>
          </w:p>
        </w:tc>
        <w:tc>
          <w:tcPr>
            <w:tcW w:w="754" w:type="pct"/>
            <w:tcBorders>
              <w:top w:val="nil"/>
              <w:left w:val="nil"/>
              <w:bottom w:val="nil"/>
              <w:right w:val="nil"/>
            </w:tcBorders>
            <w:shd w:val="clear" w:color="000000" w:fill="F3F9F8"/>
            <w:noWrap/>
            <w:vAlign w:val="center"/>
            <w:hideMark/>
          </w:tcPr>
          <w:p w14:paraId="617766B5"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7,1</w:t>
            </w:r>
          </w:p>
        </w:tc>
        <w:tc>
          <w:tcPr>
            <w:tcW w:w="754" w:type="pct"/>
            <w:tcBorders>
              <w:top w:val="nil"/>
              <w:left w:val="nil"/>
              <w:bottom w:val="nil"/>
              <w:right w:val="nil"/>
            </w:tcBorders>
            <w:shd w:val="clear" w:color="auto" w:fill="auto"/>
            <w:noWrap/>
            <w:vAlign w:val="center"/>
            <w:hideMark/>
          </w:tcPr>
          <w:p w14:paraId="3CAC2B56"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15,3</w:t>
            </w:r>
          </w:p>
        </w:tc>
      </w:tr>
      <w:tr w:rsidR="003D0C36" w:rsidRPr="003D0C36" w14:paraId="2D93F895" w14:textId="77777777" w:rsidTr="003D0C36">
        <w:trPr>
          <w:trHeight w:val="288"/>
        </w:trPr>
        <w:tc>
          <w:tcPr>
            <w:tcW w:w="1233" w:type="pct"/>
            <w:tcBorders>
              <w:top w:val="nil"/>
              <w:left w:val="nil"/>
              <w:bottom w:val="nil"/>
              <w:right w:val="nil"/>
            </w:tcBorders>
            <w:shd w:val="clear" w:color="auto" w:fill="auto"/>
            <w:noWrap/>
            <w:vAlign w:val="center"/>
            <w:hideMark/>
          </w:tcPr>
          <w:p w14:paraId="161D0911"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Non specificata</w:t>
            </w:r>
          </w:p>
        </w:tc>
        <w:tc>
          <w:tcPr>
            <w:tcW w:w="753" w:type="pct"/>
            <w:tcBorders>
              <w:top w:val="nil"/>
              <w:left w:val="nil"/>
              <w:bottom w:val="nil"/>
              <w:right w:val="nil"/>
            </w:tcBorders>
            <w:shd w:val="clear" w:color="auto" w:fill="auto"/>
            <w:noWrap/>
            <w:vAlign w:val="center"/>
            <w:hideMark/>
          </w:tcPr>
          <w:p w14:paraId="72F19249"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0</w:t>
            </w:r>
          </w:p>
        </w:tc>
        <w:tc>
          <w:tcPr>
            <w:tcW w:w="754" w:type="pct"/>
            <w:tcBorders>
              <w:top w:val="nil"/>
              <w:left w:val="nil"/>
              <w:bottom w:val="nil"/>
              <w:right w:val="nil"/>
            </w:tcBorders>
            <w:shd w:val="clear" w:color="auto" w:fill="auto"/>
            <w:noWrap/>
            <w:vAlign w:val="center"/>
            <w:hideMark/>
          </w:tcPr>
          <w:p w14:paraId="3885F4CE"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0</w:t>
            </w:r>
          </w:p>
        </w:tc>
        <w:tc>
          <w:tcPr>
            <w:tcW w:w="753" w:type="pct"/>
            <w:tcBorders>
              <w:top w:val="nil"/>
              <w:left w:val="nil"/>
              <w:bottom w:val="nil"/>
              <w:right w:val="nil"/>
            </w:tcBorders>
            <w:shd w:val="clear" w:color="auto" w:fill="auto"/>
            <w:noWrap/>
            <w:vAlign w:val="center"/>
            <w:hideMark/>
          </w:tcPr>
          <w:p w14:paraId="060D4719"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0</w:t>
            </w:r>
          </w:p>
        </w:tc>
        <w:tc>
          <w:tcPr>
            <w:tcW w:w="754" w:type="pct"/>
            <w:tcBorders>
              <w:top w:val="nil"/>
              <w:left w:val="nil"/>
              <w:bottom w:val="nil"/>
              <w:right w:val="nil"/>
            </w:tcBorders>
            <w:shd w:val="clear" w:color="auto" w:fill="auto"/>
            <w:noWrap/>
            <w:vAlign w:val="center"/>
            <w:hideMark/>
          </w:tcPr>
          <w:p w14:paraId="466D4FC4"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1,2</w:t>
            </w:r>
          </w:p>
        </w:tc>
        <w:tc>
          <w:tcPr>
            <w:tcW w:w="754" w:type="pct"/>
            <w:tcBorders>
              <w:top w:val="nil"/>
              <w:left w:val="nil"/>
              <w:bottom w:val="nil"/>
              <w:right w:val="nil"/>
            </w:tcBorders>
            <w:shd w:val="clear" w:color="auto" w:fill="auto"/>
            <w:noWrap/>
            <w:vAlign w:val="center"/>
            <w:hideMark/>
          </w:tcPr>
          <w:p w14:paraId="6A99E931"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0,3</w:t>
            </w:r>
          </w:p>
        </w:tc>
      </w:tr>
      <w:tr w:rsidR="003D0C36" w:rsidRPr="003D0C36" w14:paraId="1F0A6307" w14:textId="77777777" w:rsidTr="003D0C36">
        <w:trPr>
          <w:trHeight w:val="288"/>
        </w:trPr>
        <w:tc>
          <w:tcPr>
            <w:tcW w:w="1233" w:type="pct"/>
            <w:tcBorders>
              <w:top w:val="nil"/>
              <w:left w:val="nil"/>
              <w:bottom w:val="nil"/>
              <w:right w:val="nil"/>
            </w:tcBorders>
            <w:shd w:val="clear" w:color="auto" w:fill="auto"/>
            <w:noWrap/>
            <w:vAlign w:val="center"/>
            <w:hideMark/>
          </w:tcPr>
          <w:p w14:paraId="20B448AB" w14:textId="77777777" w:rsidR="003D0C36" w:rsidRPr="003D0C36" w:rsidRDefault="003D0C36" w:rsidP="003D0C36">
            <w:pPr>
              <w:spacing w:line="240" w:lineRule="auto"/>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Totale</w:t>
            </w:r>
          </w:p>
        </w:tc>
        <w:tc>
          <w:tcPr>
            <w:tcW w:w="753" w:type="pct"/>
            <w:tcBorders>
              <w:top w:val="nil"/>
              <w:left w:val="nil"/>
              <w:bottom w:val="nil"/>
              <w:right w:val="nil"/>
            </w:tcBorders>
            <w:shd w:val="clear" w:color="auto" w:fill="auto"/>
            <w:noWrap/>
            <w:vAlign w:val="center"/>
            <w:hideMark/>
          </w:tcPr>
          <w:p w14:paraId="3F54881C"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100</w:t>
            </w:r>
          </w:p>
        </w:tc>
        <w:tc>
          <w:tcPr>
            <w:tcW w:w="754" w:type="pct"/>
            <w:tcBorders>
              <w:top w:val="nil"/>
              <w:left w:val="nil"/>
              <w:bottom w:val="nil"/>
              <w:right w:val="nil"/>
            </w:tcBorders>
            <w:shd w:val="clear" w:color="auto" w:fill="auto"/>
            <w:noWrap/>
            <w:vAlign w:val="center"/>
            <w:hideMark/>
          </w:tcPr>
          <w:p w14:paraId="28F678A8"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100</w:t>
            </w:r>
          </w:p>
        </w:tc>
        <w:tc>
          <w:tcPr>
            <w:tcW w:w="753" w:type="pct"/>
            <w:tcBorders>
              <w:top w:val="nil"/>
              <w:left w:val="nil"/>
              <w:bottom w:val="nil"/>
              <w:right w:val="nil"/>
            </w:tcBorders>
            <w:shd w:val="clear" w:color="auto" w:fill="auto"/>
            <w:noWrap/>
            <w:vAlign w:val="center"/>
            <w:hideMark/>
          </w:tcPr>
          <w:p w14:paraId="127FA0BF"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100</w:t>
            </w:r>
          </w:p>
        </w:tc>
        <w:tc>
          <w:tcPr>
            <w:tcW w:w="754" w:type="pct"/>
            <w:tcBorders>
              <w:top w:val="nil"/>
              <w:left w:val="nil"/>
              <w:bottom w:val="nil"/>
              <w:right w:val="nil"/>
            </w:tcBorders>
            <w:shd w:val="clear" w:color="auto" w:fill="auto"/>
            <w:noWrap/>
            <w:vAlign w:val="center"/>
            <w:hideMark/>
          </w:tcPr>
          <w:p w14:paraId="45467F73"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100</w:t>
            </w:r>
          </w:p>
        </w:tc>
        <w:tc>
          <w:tcPr>
            <w:tcW w:w="754" w:type="pct"/>
            <w:tcBorders>
              <w:top w:val="nil"/>
              <w:left w:val="nil"/>
              <w:bottom w:val="nil"/>
              <w:right w:val="nil"/>
            </w:tcBorders>
            <w:shd w:val="clear" w:color="auto" w:fill="auto"/>
            <w:noWrap/>
            <w:vAlign w:val="center"/>
            <w:hideMark/>
          </w:tcPr>
          <w:p w14:paraId="3C94443B" w14:textId="77777777" w:rsidR="003D0C36" w:rsidRPr="003D0C36" w:rsidRDefault="003D0C36" w:rsidP="003D0C36">
            <w:pPr>
              <w:spacing w:line="240" w:lineRule="auto"/>
              <w:jc w:val="center"/>
              <w:rPr>
                <w:rFonts w:ascii="Arial" w:eastAsia="Times New Roman" w:hAnsi="Arial" w:cs="Arial"/>
                <w:color w:val="000000"/>
                <w:kern w:val="0"/>
                <w:sz w:val="16"/>
                <w:szCs w:val="16"/>
                <w:lang w:eastAsia="it-IT"/>
                <w14:ligatures w14:val="none"/>
              </w:rPr>
            </w:pPr>
            <w:r w:rsidRPr="003D0C36">
              <w:rPr>
                <w:rFonts w:ascii="Arial" w:eastAsia="Times New Roman" w:hAnsi="Arial" w:cs="Arial"/>
                <w:color w:val="000000"/>
                <w:kern w:val="0"/>
                <w:sz w:val="16"/>
                <w:szCs w:val="16"/>
                <w:lang w:eastAsia="it-IT"/>
                <w14:ligatures w14:val="none"/>
              </w:rPr>
              <w:t>100</w:t>
            </w:r>
          </w:p>
        </w:tc>
      </w:tr>
    </w:tbl>
    <w:p w14:paraId="7BA3F8C0" w14:textId="77777777" w:rsidR="003D0C36" w:rsidRPr="008C687E" w:rsidRDefault="003D0C36" w:rsidP="003D0C36">
      <w:pPr>
        <w:rPr>
          <w:sz w:val="14"/>
          <w:szCs w:val="14"/>
        </w:rPr>
      </w:pPr>
      <w:r w:rsidRPr="008C687E">
        <w:rPr>
          <w:sz w:val="18"/>
          <w:szCs w:val="18"/>
        </w:rPr>
        <w:t>Fonte: Fondazione Nord Est 2023 (649 casi)</w:t>
      </w:r>
    </w:p>
    <w:p w14:paraId="545348B4" w14:textId="77777777" w:rsidR="00D020C7" w:rsidRDefault="00D020C7" w:rsidP="00BB25B4">
      <w:pPr>
        <w:rPr>
          <w:sz w:val="18"/>
          <w:szCs w:val="18"/>
        </w:rPr>
      </w:pPr>
    </w:p>
    <w:p w14:paraId="4B793775" w14:textId="77777777" w:rsidR="00D020C7" w:rsidRDefault="00D020C7" w:rsidP="00BB25B4">
      <w:pPr>
        <w:rPr>
          <w:sz w:val="18"/>
          <w:szCs w:val="18"/>
        </w:rPr>
      </w:pPr>
    </w:p>
    <w:p w14:paraId="430ECCC4" w14:textId="77777777" w:rsidR="00D020C7" w:rsidRDefault="00D020C7" w:rsidP="00BB25B4">
      <w:pPr>
        <w:rPr>
          <w:sz w:val="18"/>
          <w:szCs w:val="18"/>
        </w:rPr>
      </w:pPr>
    </w:p>
    <w:p w14:paraId="469B218F" w14:textId="77777777" w:rsidR="00D020C7" w:rsidRDefault="00D020C7" w:rsidP="00E8513C">
      <w:pPr>
        <w:rPr>
          <w:b/>
          <w:bCs/>
        </w:rPr>
      </w:pPr>
    </w:p>
    <w:p w14:paraId="2116C4CB" w14:textId="77777777" w:rsidR="00D020C7" w:rsidRDefault="00D020C7" w:rsidP="00E8513C">
      <w:pPr>
        <w:rPr>
          <w:b/>
          <w:bCs/>
        </w:rPr>
      </w:pPr>
    </w:p>
    <w:p w14:paraId="68070B31" w14:textId="77777777" w:rsidR="00D020C7" w:rsidRDefault="00D020C7" w:rsidP="00E8513C">
      <w:pPr>
        <w:rPr>
          <w:b/>
          <w:bCs/>
        </w:rPr>
      </w:pPr>
    </w:p>
    <w:p w14:paraId="0B950519" w14:textId="77777777" w:rsidR="00D020C7" w:rsidRDefault="00D020C7" w:rsidP="00E8513C">
      <w:pPr>
        <w:rPr>
          <w:b/>
          <w:bCs/>
        </w:rPr>
      </w:pPr>
    </w:p>
    <w:p w14:paraId="3A35058D" w14:textId="77777777" w:rsidR="00D020C7" w:rsidRDefault="00D020C7" w:rsidP="00E8513C">
      <w:pPr>
        <w:rPr>
          <w:b/>
          <w:bCs/>
        </w:rPr>
      </w:pPr>
    </w:p>
    <w:p w14:paraId="13E75FE7" w14:textId="77777777" w:rsidR="00D020C7" w:rsidRDefault="00D020C7" w:rsidP="00E8513C">
      <w:pPr>
        <w:rPr>
          <w:b/>
          <w:bCs/>
        </w:rPr>
      </w:pPr>
    </w:p>
    <w:p w14:paraId="55D9A472" w14:textId="77777777" w:rsidR="00D020C7" w:rsidRDefault="00D020C7" w:rsidP="00E8513C">
      <w:pPr>
        <w:rPr>
          <w:b/>
          <w:bCs/>
        </w:rPr>
      </w:pPr>
    </w:p>
    <w:p w14:paraId="5BA38B8B" w14:textId="2E56DFEF" w:rsidR="00E8513C" w:rsidRDefault="00E8513C" w:rsidP="00E8513C">
      <w:pPr>
        <w:rPr>
          <w:b/>
          <w:bCs/>
        </w:rPr>
      </w:pPr>
      <w:r>
        <w:rPr>
          <w:b/>
          <w:bCs/>
        </w:rPr>
        <w:t>Fig.</w:t>
      </w:r>
      <w:r w:rsidRPr="00537D0A">
        <w:rPr>
          <w:b/>
          <w:bCs/>
        </w:rPr>
        <w:t xml:space="preserve"> 2.</w:t>
      </w:r>
      <w:r>
        <w:rPr>
          <w:b/>
          <w:bCs/>
        </w:rPr>
        <w:t>5 -</w:t>
      </w:r>
      <w:r w:rsidRPr="00537D0A">
        <w:rPr>
          <w:b/>
          <w:bCs/>
        </w:rPr>
        <w:t xml:space="preserve"> Numerosità di imprese per cluster</w:t>
      </w:r>
      <w:r>
        <w:rPr>
          <w:b/>
          <w:bCs/>
        </w:rPr>
        <w:t xml:space="preserve"> e classe di fatturato (valori assoluti)</w:t>
      </w:r>
    </w:p>
    <w:p w14:paraId="738BF21B" w14:textId="5FF02B31" w:rsidR="00C66C28" w:rsidRDefault="00C66C28" w:rsidP="00E8513C">
      <w:pPr>
        <w:rPr>
          <w:b/>
          <w:bCs/>
        </w:rPr>
      </w:pPr>
      <w:r w:rsidRPr="00D03DD5">
        <w:rPr>
          <w:noProof/>
          <w:color w:val="FFFFFF" w:themeColor="background1"/>
        </w:rPr>
        <w:lastRenderedPageBreak/>
        <w:drawing>
          <wp:inline distT="0" distB="0" distL="0" distR="0" wp14:anchorId="1BB5E3AD" wp14:editId="194E4218">
            <wp:extent cx="6120130" cy="2910177"/>
            <wp:effectExtent l="0" t="0" r="0" b="5080"/>
            <wp:docPr id="1460437141" name="Grafico 1">
              <a:extLst xmlns:a="http://schemas.openxmlformats.org/drawingml/2006/main">
                <a:ext uri="{FF2B5EF4-FFF2-40B4-BE49-F238E27FC236}">
                  <a16:creationId xmlns:a16="http://schemas.microsoft.com/office/drawing/2014/main" id="{58F9B556-0D9A-4A36-8C3C-C8D88EE1D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157A48" w14:textId="5C01F307" w:rsidR="00BB25B4" w:rsidRPr="008C687E" w:rsidRDefault="00BB25B4" w:rsidP="00BB25B4">
      <w:pPr>
        <w:rPr>
          <w:sz w:val="14"/>
          <w:szCs w:val="14"/>
        </w:rPr>
      </w:pPr>
      <w:r w:rsidRPr="008C687E">
        <w:rPr>
          <w:sz w:val="18"/>
          <w:szCs w:val="18"/>
        </w:rPr>
        <w:t>Fonte: Fondazione Nord Est 2023 (649 casi)</w:t>
      </w:r>
    </w:p>
    <w:p w14:paraId="62145C01" w14:textId="77777777" w:rsidR="00C92C49" w:rsidRDefault="00C92C49" w:rsidP="00075241"/>
    <w:p w14:paraId="213E1864" w14:textId="02B2A1AE" w:rsidR="008B79F0" w:rsidRDefault="0093025D" w:rsidP="00BF4CFD">
      <w:pPr>
        <w:jc w:val="both"/>
      </w:pPr>
      <w:r>
        <w:t>È</w:t>
      </w:r>
      <w:r w:rsidR="001F7BD7">
        <w:t xml:space="preserve"> possibile</w:t>
      </w:r>
      <w:r w:rsidR="00FD5E16">
        <w:t xml:space="preserve"> </w:t>
      </w:r>
      <w:r w:rsidR="00A5514D">
        <w:t>raffigurare</w:t>
      </w:r>
      <w:r w:rsidR="00FD5E16">
        <w:t xml:space="preserve"> l’impatto </w:t>
      </w:r>
      <w:r w:rsidR="00A5514D">
        <w:t xml:space="preserve">della classe dimensionale e del macrosettore rispetto </w:t>
      </w:r>
      <w:r w:rsidR="006744CE">
        <w:t xml:space="preserve">al volume dei ricavi </w:t>
      </w:r>
      <w:r w:rsidR="00653F37">
        <w:t>generati dai mercati fuori dall’Italia (UE ed Extra UE)</w:t>
      </w:r>
      <w:r w:rsidR="00A5514D">
        <w:t xml:space="preserve"> </w:t>
      </w:r>
      <w:r w:rsidR="00653F37">
        <w:t xml:space="preserve">utilizzando </w:t>
      </w:r>
      <w:r w:rsidR="00991955">
        <w:t>il formato</w:t>
      </w:r>
      <w:r w:rsidR="00A423B4">
        <w:t xml:space="preserve"> del boxplot</w:t>
      </w:r>
      <w:r>
        <w:t xml:space="preserve"> (Figura 2.6 e 2.7)</w:t>
      </w:r>
      <w:r w:rsidR="00DF5EBC">
        <w:t xml:space="preserve"> che raffigura la distribuzione dei valori per le diverse dimensioni</w:t>
      </w:r>
      <w:r w:rsidR="008B79F0">
        <w:t xml:space="preserve">. </w:t>
      </w:r>
    </w:p>
    <w:p w14:paraId="6A56B3E0" w14:textId="77777777" w:rsidR="008B79F0" w:rsidRDefault="008B79F0" w:rsidP="00BF4CFD">
      <w:pPr>
        <w:jc w:val="both"/>
      </w:pPr>
    </w:p>
    <w:p w14:paraId="65692784" w14:textId="5D36693D" w:rsidR="00B94E75" w:rsidRDefault="0099125F" w:rsidP="00BF4CFD">
      <w:pPr>
        <w:jc w:val="both"/>
      </w:pPr>
      <w:r>
        <w:t xml:space="preserve">Ogni punto rappresenta una delle imprese che ha partecipato alla rilevazione. </w:t>
      </w:r>
      <w:r w:rsidR="00DF5EBC">
        <w:t xml:space="preserve">In ogni “scatola” </w:t>
      </w:r>
      <w:r w:rsidR="00A06BF5">
        <w:t>sono contenute</w:t>
      </w:r>
      <w:r w:rsidR="00350C8B">
        <w:t xml:space="preserve"> il 50% delle osservazioni</w:t>
      </w:r>
      <w:r>
        <w:t xml:space="preserve"> e quindi delle imprese</w:t>
      </w:r>
      <w:r w:rsidR="006F68B3">
        <w:t xml:space="preserve">. </w:t>
      </w:r>
      <w:r>
        <w:t>Questi</w:t>
      </w:r>
      <w:r w:rsidR="00A06BF5">
        <w:t xml:space="preserve"> 50% rappresenta le imprese “medie”, quelle che non sono nel top 25% ma neanche</w:t>
      </w:r>
      <w:r w:rsidR="006D1C55">
        <w:t xml:space="preserve"> nel 25%</w:t>
      </w:r>
      <w:r w:rsidR="00A06BF5">
        <w:t xml:space="preserve"> </w:t>
      </w:r>
      <w:r w:rsidR="006D1C55">
        <w:t>con i valori peggiori. I</w:t>
      </w:r>
      <w:r w:rsidR="00F234F4">
        <w:t xml:space="preserve">l valore mediano è segnato dalla linea che divide </w:t>
      </w:r>
      <w:r w:rsidR="00FD5E16">
        <w:t xml:space="preserve">in due parti </w:t>
      </w:r>
      <w:r w:rsidR="00F234F4">
        <w:t>il box</w:t>
      </w:r>
      <w:r w:rsidR="00FD5E16">
        <w:t>.</w:t>
      </w:r>
      <w:r w:rsidR="00A62288">
        <w:t xml:space="preserve"> </w:t>
      </w:r>
    </w:p>
    <w:p w14:paraId="5F0E4BD8" w14:textId="77777777" w:rsidR="00A5514D" w:rsidRDefault="00A5514D" w:rsidP="00FD5E16">
      <w:pPr>
        <w:jc w:val="both"/>
      </w:pPr>
    </w:p>
    <w:p w14:paraId="1534C850" w14:textId="7B4B3969" w:rsidR="00FF7FF0" w:rsidRDefault="00FD5E16" w:rsidP="00BF4CFD">
      <w:pPr>
        <w:jc w:val="both"/>
      </w:pPr>
      <w:r>
        <w:t>Analizzando</w:t>
      </w:r>
      <w:r w:rsidR="00A5514D">
        <w:t xml:space="preserve"> </w:t>
      </w:r>
      <w:r>
        <w:t xml:space="preserve">nello specifico </w:t>
      </w:r>
      <w:r w:rsidR="00A5514D">
        <w:t>i dati sul</w:t>
      </w:r>
      <w:r>
        <w:t xml:space="preserve"> valore del fatturato conseguito fuori dai confini nazionali</w:t>
      </w:r>
      <w:r w:rsidR="00495011">
        <w:t xml:space="preserve"> si può notare come questo</w:t>
      </w:r>
      <w:r>
        <w:t xml:space="preserve"> cresca notevolmente</w:t>
      </w:r>
      <w:r w:rsidR="00495011">
        <w:t xml:space="preserve"> co</w:t>
      </w:r>
      <w:r>
        <w:t>n riferimento alla classe dimensionale.</w:t>
      </w:r>
      <w:r w:rsidR="00CC7412">
        <w:t xml:space="preserve"> </w:t>
      </w:r>
      <w:r w:rsidR="00495011">
        <w:t>I</w:t>
      </w:r>
      <w:r w:rsidR="00FF7FF0">
        <w:t>n particolare</w:t>
      </w:r>
      <w:r w:rsidR="00E052AA">
        <w:t>,</w:t>
      </w:r>
      <w:r w:rsidR="00FF7FF0">
        <w:t xml:space="preserve"> il valore</w:t>
      </w:r>
      <w:r w:rsidR="00CA4F97">
        <w:t xml:space="preserve"> delle esportazioni delle imprese di maggiori dimensioni</w:t>
      </w:r>
      <w:r w:rsidR="00FF7FF0">
        <w:t xml:space="preserve"> si distacca ancora più significativamente per quanto riguarda i ricavi conseguiti in paesi extra UE. Al contrario le imprese </w:t>
      </w:r>
      <w:r w:rsidR="00CF0DBE">
        <w:t>con meno di 50 addetti hanno come mercato di riferimento</w:t>
      </w:r>
      <w:r w:rsidR="00CC7412">
        <w:t xml:space="preserve"> prevalente</w:t>
      </w:r>
      <w:r w:rsidR="00CF0DBE">
        <w:t xml:space="preserve"> quello </w:t>
      </w:r>
      <w:r w:rsidR="00E763EC">
        <w:t xml:space="preserve">nazionale, che rappresenta </w:t>
      </w:r>
      <w:r w:rsidR="00666B29">
        <w:t>più dell’80</w:t>
      </w:r>
      <w:r w:rsidR="00E763EC">
        <w:t>% del totale d</w:t>
      </w:r>
      <w:r w:rsidR="00A076A5">
        <w:t>ei ricavi.</w:t>
      </w:r>
    </w:p>
    <w:p w14:paraId="06EB261A" w14:textId="77777777" w:rsidR="00A076A5" w:rsidRDefault="00A076A5" w:rsidP="00075241"/>
    <w:p w14:paraId="407CF3CE" w14:textId="5F4B0E0C" w:rsidR="00320A8D" w:rsidRDefault="00AA6430" w:rsidP="0070033F">
      <w:pPr>
        <w:jc w:val="both"/>
      </w:pPr>
      <w:r>
        <w:t xml:space="preserve">Con riferimento al settore invece si può cogliere una peculiarità </w:t>
      </w:r>
      <w:r w:rsidR="0001106C">
        <w:t xml:space="preserve">relativa alle imprese metalmeccaniche (il </w:t>
      </w:r>
      <w:r w:rsidR="007F2AC1">
        <w:t>45% circa del totale)</w:t>
      </w:r>
      <w:r w:rsidR="002679CE">
        <w:t xml:space="preserve"> che</w:t>
      </w:r>
      <w:r w:rsidR="00921A4C">
        <w:t xml:space="preserve"> </w:t>
      </w:r>
      <w:r w:rsidR="00121CE1">
        <w:t xml:space="preserve">possiedono una quota di fatturato conseguito </w:t>
      </w:r>
      <w:r w:rsidR="007A664C">
        <w:t>all’estero maggiore</w:t>
      </w:r>
      <w:r w:rsidR="0021722A">
        <w:t xml:space="preserve"> rispetto a quelle appartenenti agli altri settori,</w:t>
      </w:r>
      <w:r w:rsidR="00FC1762">
        <w:t xml:space="preserve"> </w:t>
      </w:r>
      <w:r w:rsidR="0070033F">
        <w:t xml:space="preserve">un dato che può essere spiegato dallo storico legame </w:t>
      </w:r>
      <w:r w:rsidR="00E203F0">
        <w:t>che</w:t>
      </w:r>
      <w:r w:rsidR="0070033F">
        <w:t xml:space="preserve"> le imprese del settore </w:t>
      </w:r>
      <w:r w:rsidR="00E203F0">
        <w:t>hanno con</w:t>
      </w:r>
      <w:r w:rsidR="0070033F">
        <w:t xml:space="preserve"> le filiere</w:t>
      </w:r>
      <w:r w:rsidR="00E203F0">
        <w:t xml:space="preserve"> della meccanica</w:t>
      </w:r>
      <w:r w:rsidR="0070033F">
        <w:t xml:space="preserve"> europee (in particolar modo quelle tedesche). </w:t>
      </w:r>
    </w:p>
    <w:p w14:paraId="0B5BD57D" w14:textId="470946E8" w:rsidR="00EE133E" w:rsidRDefault="00EE133E" w:rsidP="006F786E">
      <w:pPr>
        <w:jc w:val="both"/>
      </w:pPr>
    </w:p>
    <w:p w14:paraId="45540617" w14:textId="034D4435" w:rsidR="00EE133E" w:rsidRDefault="00EE133E" w:rsidP="006F786E">
      <w:pPr>
        <w:jc w:val="both"/>
      </w:pPr>
    </w:p>
    <w:p w14:paraId="1293E882" w14:textId="5FDB19D9" w:rsidR="00320A8D" w:rsidRDefault="00EE133E">
      <w:pPr>
        <w:spacing w:after="160"/>
      </w:pPr>
      <w:r>
        <w:br w:type="page"/>
      </w:r>
    </w:p>
    <w:p w14:paraId="6EA1C461" w14:textId="3C6EEE41" w:rsidR="004A1C23" w:rsidRPr="007B51DC" w:rsidRDefault="007B51DC" w:rsidP="007B51DC">
      <w:pPr>
        <w:rPr>
          <w:b/>
        </w:rPr>
      </w:pPr>
      <w:r w:rsidRPr="00FE0BDD">
        <w:rPr>
          <w:b/>
        </w:rPr>
        <w:lastRenderedPageBreak/>
        <w:t>Fig. 2.</w:t>
      </w:r>
      <w:r w:rsidR="00E8513C">
        <w:rPr>
          <w:b/>
        </w:rPr>
        <w:t>6</w:t>
      </w:r>
      <w:r w:rsidRPr="00FE0BDD">
        <w:rPr>
          <w:b/>
        </w:rPr>
        <w:t xml:space="preserve"> – Distribuzione del fatturato per area geografic</w:t>
      </w:r>
      <w:r>
        <w:rPr>
          <w:b/>
        </w:rPr>
        <w:t>a</w:t>
      </w:r>
      <w:r w:rsidRPr="00FE0BDD">
        <w:rPr>
          <w:b/>
        </w:rPr>
        <w:t xml:space="preserve"> e </w:t>
      </w:r>
      <w:r>
        <w:rPr>
          <w:b/>
        </w:rPr>
        <w:t>classe dimensionale</w:t>
      </w:r>
      <w:r w:rsidRPr="00FE0BDD">
        <w:rPr>
          <w:b/>
        </w:rPr>
        <w:t xml:space="preserve"> (val. %)</w:t>
      </w:r>
      <w:r w:rsidR="00320A8D" w:rsidRPr="003B428F">
        <w:rPr>
          <w:noProof/>
        </w:rPr>
        <w:drawing>
          <wp:anchor distT="0" distB="0" distL="114300" distR="114300" simplePos="0" relativeHeight="251658240" behindDoc="0" locked="0" layoutInCell="1" allowOverlap="1" wp14:anchorId="3289EA94" wp14:editId="5CFAC103">
            <wp:simplePos x="0" y="0"/>
            <wp:positionH relativeFrom="column">
              <wp:posOffset>7620</wp:posOffset>
            </wp:positionH>
            <wp:positionV relativeFrom="paragraph">
              <wp:posOffset>349885</wp:posOffset>
            </wp:positionV>
            <wp:extent cx="5903595" cy="2454910"/>
            <wp:effectExtent l="0" t="0" r="1905" b="2540"/>
            <wp:wrapSquare wrapText="bothSides"/>
            <wp:docPr id="1359108370" name="Picture 135910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08370" name="Immagine 1359108370"/>
                    <pic:cNvPicPr/>
                  </pic:nvPicPr>
                  <pic:blipFill rotWithShape="1">
                    <a:blip r:embed="rId22">
                      <a:extLst>
                        <a:ext uri="{28A0092B-C50C-407E-A947-70E740481C1C}">
                          <a14:useLocalDpi xmlns:a14="http://schemas.microsoft.com/office/drawing/2010/main" val="0"/>
                        </a:ext>
                      </a:extLst>
                    </a:blip>
                    <a:srcRect t="7255" b="2022"/>
                    <a:stretch/>
                  </pic:blipFill>
                  <pic:spPr bwMode="auto">
                    <a:xfrm>
                      <a:off x="0" y="0"/>
                      <a:ext cx="5903595" cy="2454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93ECC4" w14:textId="52A35629" w:rsidR="00320A8D" w:rsidRDefault="00320A8D" w:rsidP="006F786E">
      <w:pPr>
        <w:jc w:val="both"/>
      </w:pPr>
      <w:r w:rsidRPr="003B428F">
        <w:rPr>
          <w:noProof/>
        </w:rPr>
        <w:drawing>
          <wp:inline distT="0" distB="0" distL="0" distR="0" wp14:anchorId="5F2D4726" wp14:editId="52451B8A">
            <wp:extent cx="6021797" cy="2401096"/>
            <wp:effectExtent l="0" t="0" r="0" b="0"/>
            <wp:docPr id="1176143401" name="Picture 117614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3401" name="Immagine 1176143401"/>
                    <pic:cNvPicPr/>
                  </pic:nvPicPr>
                  <pic:blipFill>
                    <a:blip r:embed="rId23">
                      <a:extLst>
                        <a:ext uri="{28A0092B-C50C-407E-A947-70E740481C1C}">
                          <a14:useLocalDpi xmlns:a14="http://schemas.microsoft.com/office/drawing/2010/main" val="0"/>
                        </a:ext>
                      </a:extLst>
                    </a:blip>
                    <a:srcRect t="6522" b="6522"/>
                    <a:stretch>
                      <a:fillRect/>
                    </a:stretch>
                  </pic:blipFill>
                  <pic:spPr bwMode="auto">
                    <a:xfrm>
                      <a:off x="0" y="0"/>
                      <a:ext cx="6021797" cy="2401096"/>
                    </a:xfrm>
                    <a:prstGeom prst="rect">
                      <a:avLst/>
                    </a:prstGeom>
                    <a:ln>
                      <a:noFill/>
                    </a:ln>
                    <a:extLst>
                      <a:ext uri="{53640926-AAD7-44D8-BBD7-CCE9431645EC}">
                        <a14:shadowObscured xmlns:a14="http://schemas.microsoft.com/office/drawing/2010/main"/>
                      </a:ext>
                    </a:extLst>
                  </pic:spPr>
                </pic:pic>
              </a:graphicData>
            </a:graphic>
          </wp:inline>
        </w:drawing>
      </w:r>
    </w:p>
    <w:p w14:paraId="25920BCF" w14:textId="06B01DEA" w:rsidR="00320A8D" w:rsidRDefault="00467215" w:rsidP="006F786E">
      <w:pPr>
        <w:jc w:val="both"/>
      </w:pPr>
      <w:r w:rsidRPr="003B428F">
        <w:rPr>
          <w:noProof/>
        </w:rPr>
        <w:drawing>
          <wp:inline distT="0" distB="0" distL="0" distR="0" wp14:anchorId="2D785521" wp14:editId="35729F69">
            <wp:extent cx="6137042" cy="2574789"/>
            <wp:effectExtent l="0" t="0" r="0" b="0"/>
            <wp:docPr id="1829509781" name="Picture 182950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9781" name="Immagine 1829509781"/>
                    <pic:cNvPicPr/>
                  </pic:nvPicPr>
                  <pic:blipFill>
                    <a:blip r:embed="rId24">
                      <a:extLst>
                        <a:ext uri="{28A0092B-C50C-407E-A947-70E740481C1C}">
                          <a14:useLocalDpi xmlns:a14="http://schemas.microsoft.com/office/drawing/2010/main" val="0"/>
                        </a:ext>
                      </a:extLst>
                    </a:blip>
                    <a:srcRect t="4252" b="4252"/>
                    <a:stretch>
                      <a:fillRect/>
                    </a:stretch>
                  </pic:blipFill>
                  <pic:spPr bwMode="auto">
                    <a:xfrm rot="10800000" flipH="1" flipV="1">
                      <a:off x="0" y="0"/>
                      <a:ext cx="6137042" cy="2574789"/>
                    </a:xfrm>
                    <a:prstGeom prst="rect">
                      <a:avLst/>
                    </a:prstGeom>
                    <a:ln>
                      <a:noFill/>
                    </a:ln>
                    <a:extLst>
                      <a:ext uri="{53640926-AAD7-44D8-BBD7-CCE9431645EC}">
                        <a14:shadowObscured xmlns:a14="http://schemas.microsoft.com/office/drawing/2010/main"/>
                      </a:ext>
                    </a:extLst>
                  </pic:spPr>
                </pic:pic>
              </a:graphicData>
            </a:graphic>
          </wp:inline>
        </w:drawing>
      </w:r>
    </w:p>
    <w:p w14:paraId="0A147882" w14:textId="25AE7910" w:rsidR="006018CE" w:rsidRPr="006018CE" w:rsidRDefault="007B51DC" w:rsidP="00075241">
      <w:pPr>
        <w:rPr>
          <w:sz w:val="18"/>
          <w:szCs w:val="18"/>
        </w:rPr>
      </w:pPr>
      <w:r w:rsidRPr="006018CE">
        <w:rPr>
          <w:sz w:val="18"/>
          <w:szCs w:val="18"/>
        </w:rPr>
        <w:t>Fonte: Fondazione Nord Est 2023 (6</w:t>
      </w:r>
      <w:r w:rsidR="006018CE">
        <w:rPr>
          <w:sz w:val="18"/>
          <w:szCs w:val="18"/>
        </w:rPr>
        <w:t>49</w:t>
      </w:r>
      <w:r w:rsidR="006018CE" w:rsidRPr="00FE0BDD">
        <w:rPr>
          <w:sz w:val="18"/>
          <w:szCs w:val="18"/>
        </w:rPr>
        <w:t xml:space="preserve"> casi)</w:t>
      </w:r>
    </w:p>
    <w:p w14:paraId="4B1D3BA6" w14:textId="77777777" w:rsidR="006018CE" w:rsidRPr="006018CE" w:rsidRDefault="006018CE">
      <w:pPr>
        <w:spacing w:after="160"/>
        <w:rPr>
          <w:sz w:val="18"/>
          <w:szCs w:val="18"/>
        </w:rPr>
      </w:pPr>
      <w:r w:rsidRPr="006018CE">
        <w:rPr>
          <w:sz w:val="18"/>
          <w:szCs w:val="18"/>
        </w:rPr>
        <w:br w:type="page"/>
      </w:r>
    </w:p>
    <w:p w14:paraId="540C1253" w14:textId="38E1FD6C" w:rsidR="000069AA" w:rsidRPr="00FE0BDD" w:rsidRDefault="00581CFD" w:rsidP="00075241">
      <w:pPr>
        <w:rPr>
          <w:b/>
        </w:rPr>
      </w:pPr>
      <w:r w:rsidRPr="00FE0BDD">
        <w:rPr>
          <w:b/>
        </w:rPr>
        <w:lastRenderedPageBreak/>
        <w:t>Fig</w:t>
      </w:r>
      <w:r w:rsidR="00687E0F" w:rsidRPr="00FE0BDD">
        <w:rPr>
          <w:b/>
        </w:rPr>
        <w:t>.</w:t>
      </w:r>
      <w:r w:rsidR="000678A2" w:rsidRPr="00FE0BDD">
        <w:rPr>
          <w:b/>
        </w:rPr>
        <w:t xml:space="preserve"> 2.</w:t>
      </w:r>
      <w:r w:rsidR="00E8513C">
        <w:rPr>
          <w:b/>
        </w:rPr>
        <w:t>7</w:t>
      </w:r>
      <w:r w:rsidR="00687E0F" w:rsidRPr="00FE0BDD">
        <w:rPr>
          <w:b/>
        </w:rPr>
        <w:t xml:space="preserve"> –</w:t>
      </w:r>
      <w:r w:rsidR="0012511E" w:rsidRPr="00FE0BDD">
        <w:rPr>
          <w:b/>
        </w:rPr>
        <w:t xml:space="preserve"> </w:t>
      </w:r>
      <w:r w:rsidR="00250D47" w:rsidRPr="00FE0BDD">
        <w:rPr>
          <w:b/>
        </w:rPr>
        <w:t xml:space="preserve">Distribuzione </w:t>
      </w:r>
      <w:r w:rsidR="000B5438" w:rsidRPr="00FE0BDD">
        <w:rPr>
          <w:b/>
        </w:rPr>
        <w:t>del fatturato per area geografic</w:t>
      </w:r>
      <w:r w:rsidR="007B51DC">
        <w:rPr>
          <w:b/>
        </w:rPr>
        <w:t>a</w:t>
      </w:r>
      <w:r w:rsidR="00912FF7" w:rsidRPr="00FE0BDD">
        <w:rPr>
          <w:b/>
        </w:rPr>
        <w:t xml:space="preserve"> e </w:t>
      </w:r>
      <w:r w:rsidR="00264199" w:rsidRPr="00FE0BDD">
        <w:rPr>
          <w:b/>
        </w:rPr>
        <w:t>macrosettore</w:t>
      </w:r>
      <w:r w:rsidR="00354AE8" w:rsidRPr="00FE0BDD">
        <w:rPr>
          <w:b/>
        </w:rPr>
        <w:t xml:space="preserve"> (val. %)</w:t>
      </w:r>
    </w:p>
    <w:p w14:paraId="30A4AB8A" w14:textId="6AF1FD1C" w:rsidR="0005298A" w:rsidRDefault="007B51DC" w:rsidP="00075241">
      <w:r>
        <w:rPr>
          <w:noProof/>
        </w:rPr>
        <w:drawing>
          <wp:inline distT="0" distB="0" distL="0" distR="0" wp14:anchorId="608801E6" wp14:editId="04248EE5">
            <wp:extent cx="6120130" cy="2652395"/>
            <wp:effectExtent l="0" t="0" r="0" b="0"/>
            <wp:docPr id="1348885158" name="Picture 1348885158" descr="Immagine che contiene linea, test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85158" name="Immagine 4" descr="Immagine che contiene linea, testo, Diagramma, schermata&#10;&#10;Descrizione generat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6120130" cy="2652395"/>
                    </a:xfrm>
                    <a:prstGeom prst="rect">
                      <a:avLst/>
                    </a:prstGeom>
                  </pic:spPr>
                </pic:pic>
              </a:graphicData>
            </a:graphic>
          </wp:inline>
        </w:drawing>
      </w:r>
      <w:r>
        <w:rPr>
          <w:noProof/>
        </w:rPr>
        <w:drawing>
          <wp:inline distT="0" distB="0" distL="0" distR="0" wp14:anchorId="2E91BFF1" wp14:editId="56B6C723">
            <wp:extent cx="6120130" cy="2652395"/>
            <wp:effectExtent l="0" t="0" r="0" b="0"/>
            <wp:docPr id="957197449" name="Picture 957197449" descr="Immagine che contiene linea, Diagramm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97449" name="Immagine 3" descr="Immagine che contiene linea, Diagramma, diagramma, schermata&#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6120130" cy="2652395"/>
                    </a:xfrm>
                    <a:prstGeom prst="rect">
                      <a:avLst/>
                    </a:prstGeom>
                  </pic:spPr>
                </pic:pic>
              </a:graphicData>
            </a:graphic>
          </wp:inline>
        </w:drawing>
      </w:r>
      <w:r>
        <w:rPr>
          <w:noProof/>
        </w:rPr>
        <w:drawing>
          <wp:inline distT="0" distB="0" distL="0" distR="0" wp14:anchorId="6C6992CF" wp14:editId="5054CD44">
            <wp:extent cx="6120130" cy="2652395"/>
            <wp:effectExtent l="0" t="0" r="0" b="0"/>
            <wp:docPr id="77624477" name="Picture 77624477"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477" name="Immagine 2" descr="Immagine che contiene testo, linea, Diagramma, diagramma&#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6120130" cy="2652395"/>
                    </a:xfrm>
                    <a:prstGeom prst="rect">
                      <a:avLst/>
                    </a:prstGeom>
                  </pic:spPr>
                </pic:pic>
              </a:graphicData>
            </a:graphic>
          </wp:inline>
        </w:drawing>
      </w:r>
    </w:p>
    <w:p w14:paraId="0EE60F91" w14:textId="77777777" w:rsidR="007B51DC" w:rsidRDefault="007B51DC" w:rsidP="00075241">
      <w:pPr>
        <w:rPr>
          <w:sz w:val="18"/>
          <w:szCs w:val="18"/>
        </w:rPr>
      </w:pPr>
    </w:p>
    <w:p w14:paraId="7F8F7681" w14:textId="6D3CC69D" w:rsidR="0042602D" w:rsidRPr="007B51DC" w:rsidRDefault="00970F4A" w:rsidP="00075241">
      <w:pPr>
        <w:rPr>
          <w:sz w:val="18"/>
          <w:szCs w:val="18"/>
        </w:rPr>
        <w:sectPr w:rsidR="0042602D" w:rsidRPr="007B51DC" w:rsidSect="00004CCB">
          <w:headerReference w:type="default" r:id="rId28"/>
          <w:footerReference w:type="default" r:id="rId29"/>
          <w:pgSz w:w="11906" w:h="16838"/>
          <w:pgMar w:top="1417" w:right="1134" w:bottom="1134" w:left="1134" w:header="708" w:footer="708" w:gutter="0"/>
          <w:cols w:space="708"/>
          <w:docGrid w:linePitch="360"/>
        </w:sectPr>
      </w:pPr>
      <w:r w:rsidRPr="00FE0BDD">
        <w:rPr>
          <w:sz w:val="18"/>
          <w:szCs w:val="18"/>
        </w:rPr>
        <w:t>Fonte: Fondazione Nord Est 2023 (</w:t>
      </w:r>
      <w:r w:rsidR="00B35417">
        <w:rPr>
          <w:sz w:val="18"/>
          <w:szCs w:val="18"/>
        </w:rPr>
        <w:t>649</w:t>
      </w:r>
      <w:r w:rsidRPr="00FE0BDD">
        <w:rPr>
          <w:sz w:val="18"/>
          <w:szCs w:val="18"/>
        </w:rPr>
        <w:t xml:space="preserve"> casi)</w:t>
      </w:r>
      <w:r w:rsidR="003B428F">
        <w:br w:type="page"/>
      </w:r>
    </w:p>
    <w:p w14:paraId="3D497BB1" w14:textId="2BF25B8C" w:rsidR="001A2251" w:rsidRDefault="00CC34D7" w:rsidP="00075241">
      <w:pPr>
        <w:pStyle w:val="Titolo3"/>
      </w:pPr>
      <w:bookmarkStart w:id="9" w:name="_Toc157430700"/>
      <w:r>
        <w:lastRenderedPageBreak/>
        <w:t>2</w:t>
      </w:r>
      <w:r w:rsidR="000F2BB0" w:rsidRPr="00015C88">
        <w:t>.</w:t>
      </w:r>
      <w:r w:rsidR="003D5AB0">
        <w:t>2</w:t>
      </w:r>
      <w:r w:rsidR="000F2BB0" w:rsidRPr="00015C88">
        <w:t xml:space="preserve"> </w:t>
      </w:r>
      <w:r w:rsidR="002E1893">
        <w:t>Un tentativo di sintesi</w:t>
      </w:r>
      <w:r w:rsidR="003625EC">
        <w:t>: i risultati della cluster analysis</w:t>
      </w:r>
      <w:bookmarkEnd w:id="9"/>
    </w:p>
    <w:p w14:paraId="33A84B4F" w14:textId="77777777" w:rsidR="000C6843" w:rsidRDefault="000C6843" w:rsidP="009F0E8A"/>
    <w:p w14:paraId="076DA5B8" w14:textId="4F427478" w:rsidR="005A2813" w:rsidRDefault="00DA4EC4" w:rsidP="00C94173">
      <w:pPr>
        <w:jc w:val="both"/>
      </w:pPr>
      <w:r>
        <w:t>Al fine</w:t>
      </w:r>
      <w:r w:rsidR="008B1B44">
        <w:t xml:space="preserve"> di fornire una lettura più </w:t>
      </w:r>
      <w:r>
        <w:t>immediata dei modelli di internazionalizzazione adottati dalle imprese</w:t>
      </w:r>
      <w:r w:rsidR="008B1B44">
        <w:t xml:space="preserve"> </w:t>
      </w:r>
      <w:r w:rsidR="00CD3838">
        <w:t xml:space="preserve">di </w:t>
      </w:r>
      <w:r w:rsidR="005B3D9B">
        <w:t>Treviso, Padova, Venezia e Rovigo</w:t>
      </w:r>
      <w:r w:rsidR="00CD3838">
        <w:t xml:space="preserve"> è </w:t>
      </w:r>
      <w:r w:rsidR="004D63F1">
        <w:t>stata</w:t>
      </w:r>
      <w:r w:rsidR="00CD3838">
        <w:t xml:space="preserve"> </w:t>
      </w:r>
      <w:r w:rsidR="00A40354">
        <w:t>condotta una</w:t>
      </w:r>
      <w:r w:rsidR="00CD3838">
        <w:t xml:space="preserve"> cluster analysis </w:t>
      </w:r>
      <w:r w:rsidR="00A40354">
        <w:t>che</w:t>
      </w:r>
      <w:r w:rsidR="00CD3838">
        <w:t xml:space="preserve"> ha</w:t>
      </w:r>
      <w:r w:rsidR="008740A4">
        <w:t xml:space="preserve"> </w:t>
      </w:r>
      <w:r w:rsidR="00A40354">
        <w:t>permesso</w:t>
      </w:r>
      <w:r w:rsidR="00CD3838">
        <w:t xml:space="preserve"> </w:t>
      </w:r>
      <w:r w:rsidR="00A40354">
        <w:t>di</w:t>
      </w:r>
      <w:r w:rsidR="008740A4">
        <w:t xml:space="preserve"> </w:t>
      </w:r>
      <w:r w:rsidR="00A40354">
        <w:t>ricondurre</w:t>
      </w:r>
      <w:r w:rsidR="008740A4">
        <w:t xml:space="preserve"> le imprese </w:t>
      </w:r>
      <w:r w:rsidR="00A40354">
        <w:t>a</w:t>
      </w:r>
      <w:r w:rsidR="008740A4">
        <w:t xml:space="preserve"> quattro </w:t>
      </w:r>
      <w:r w:rsidR="00A40354">
        <w:t xml:space="preserve">gruppi. </w:t>
      </w:r>
      <w:r w:rsidR="005A2813">
        <w:t>Descrivendoli in ordin</w:t>
      </w:r>
      <w:r w:rsidR="00910878">
        <w:t xml:space="preserve">e </w:t>
      </w:r>
      <w:r w:rsidR="00910878" w:rsidRPr="00640ADB">
        <w:t>decrescente</w:t>
      </w:r>
      <w:r w:rsidR="00910878">
        <w:t xml:space="preserve"> </w:t>
      </w:r>
      <w:r w:rsidR="00A40354">
        <w:t>rispetto al</w:t>
      </w:r>
      <w:r w:rsidR="005A2813">
        <w:t xml:space="preserve"> livello di internazionalizzazione si può</w:t>
      </w:r>
      <w:r w:rsidR="00914DD3">
        <w:t xml:space="preserve"> dunque</w:t>
      </w:r>
      <w:r w:rsidR="005A2813">
        <w:t xml:space="preserve"> così riassumere l’esito</w:t>
      </w:r>
      <w:r w:rsidR="00914DD3">
        <w:t>.</w:t>
      </w:r>
    </w:p>
    <w:p w14:paraId="4DD39B32" w14:textId="77777777" w:rsidR="004B4493" w:rsidRDefault="004B4493" w:rsidP="00C94173">
      <w:pPr>
        <w:jc w:val="both"/>
      </w:pPr>
    </w:p>
    <w:p w14:paraId="1AF74779" w14:textId="101693B4" w:rsidR="00910878" w:rsidRDefault="00910878" w:rsidP="00910878">
      <w:pPr>
        <w:jc w:val="both"/>
      </w:pPr>
      <w:r w:rsidRPr="00CC28AC">
        <w:t>Il cluster “internazionalizzati a 360°”</w:t>
      </w:r>
      <w:r w:rsidR="00C53A6E" w:rsidRPr="00CC28AC">
        <w:t xml:space="preserve"> è compost</w:t>
      </w:r>
      <w:r w:rsidR="002E69E3" w:rsidRPr="00CC28AC">
        <w:t xml:space="preserve">o da tutte quelle imprese </w:t>
      </w:r>
      <w:r w:rsidR="00C53A6E" w:rsidRPr="00CC28AC">
        <w:t>(6% del totale)</w:t>
      </w:r>
      <w:r w:rsidR="002E69E3" w:rsidRPr="00CC28AC">
        <w:t xml:space="preserve"> </w:t>
      </w:r>
      <w:r w:rsidR="002E69E3" w:rsidRPr="00CC28AC">
        <w:rPr>
          <w:b/>
          <w:bCs/>
        </w:rPr>
        <w:t>che evidenziano forme più complesse di partecipazione e presidio dei mercati esteri</w:t>
      </w:r>
      <w:r w:rsidR="002E69E3" w:rsidRPr="00CC28AC">
        <w:t>, non sol</w:t>
      </w:r>
      <w:r w:rsidR="00D3535D" w:rsidRPr="00CC28AC">
        <w:t xml:space="preserve">o l’import (nel 51,3% dei </w:t>
      </w:r>
      <w:proofErr w:type="gramStart"/>
      <w:r w:rsidR="00D3535D" w:rsidRPr="00CC28AC">
        <w:t>casi)-</w:t>
      </w:r>
      <w:proofErr w:type="gramEnd"/>
      <w:r w:rsidR="00D3535D" w:rsidRPr="00CC28AC">
        <w:t>export,</w:t>
      </w:r>
      <w:r w:rsidR="002E69E3" w:rsidRPr="00CC28AC">
        <w:t xml:space="preserve"> con filiali, uffici commerciali, produzione con proprie sedi e stabilimenti (53,8%). La quota di fatturato realizzato all’estero è</w:t>
      </w:r>
      <w:r w:rsidR="00CE603A" w:rsidRPr="00CC28AC">
        <w:t xml:space="preserve"> il </w:t>
      </w:r>
      <w:r w:rsidR="002E69E3" w:rsidRPr="00CC28AC">
        <w:t>60,7% (valore medio), di cui il 31% nei paesi extra UE</w:t>
      </w:r>
      <w:r w:rsidR="00CE603A" w:rsidRPr="00CC28AC">
        <w:t xml:space="preserve">. Oltre la metà delle imprese afferenti a questo cluster ha ricavi superiori ai 50 milioni di </w:t>
      </w:r>
      <w:proofErr w:type="gramStart"/>
      <w:r w:rsidR="00CE603A" w:rsidRPr="00CC28AC">
        <w:t>Euro</w:t>
      </w:r>
      <w:proofErr w:type="gramEnd"/>
      <w:r w:rsidR="00CE603A" w:rsidRPr="00CC28AC">
        <w:t>.</w:t>
      </w:r>
    </w:p>
    <w:p w14:paraId="4D34719A" w14:textId="77777777" w:rsidR="002E69E3" w:rsidRDefault="002E69E3" w:rsidP="00C94173">
      <w:pPr>
        <w:jc w:val="both"/>
      </w:pPr>
    </w:p>
    <w:p w14:paraId="54D9DCA5" w14:textId="4969E100" w:rsidR="00910878" w:rsidRDefault="00910878" w:rsidP="00910878">
      <w:pPr>
        <w:jc w:val="both"/>
      </w:pPr>
      <w:r w:rsidRPr="00CC28AC">
        <w:t xml:space="preserve">Il cluster “esportatori globali” raccoglie tutte quelle </w:t>
      </w:r>
      <w:r w:rsidRPr="00CC28AC">
        <w:rPr>
          <w:b/>
          <w:bCs/>
        </w:rPr>
        <w:t>imprese</w:t>
      </w:r>
      <w:r w:rsidRPr="00CC28AC">
        <w:t xml:space="preserve"> – una su tre</w:t>
      </w:r>
      <w:r w:rsidR="00402695" w:rsidRPr="00CC28AC">
        <w:t>, 32,4%</w:t>
      </w:r>
      <w:r w:rsidRPr="00CC28AC">
        <w:t xml:space="preserve"> – </w:t>
      </w:r>
      <w:r w:rsidRPr="00CC28AC">
        <w:rPr>
          <w:b/>
          <w:bCs/>
        </w:rPr>
        <w:t>che hanno esperienza nei mercati interna</w:t>
      </w:r>
      <w:r w:rsidR="00CE603A" w:rsidRPr="00CC28AC">
        <w:rPr>
          <w:b/>
          <w:bCs/>
        </w:rPr>
        <w:t>zionali e vi operano continuativamente</w:t>
      </w:r>
      <w:r w:rsidRPr="00CC28AC">
        <w:t xml:space="preserve">, anche se al di là della vendita diretta o in subfornitura </w:t>
      </w:r>
      <w:r w:rsidRPr="00CC28AC">
        <w:rPr>
          <w:b/>
          <w:bCs/>
        </w:rPr>
        <w:t>sono poche</w:t>
      </w:r>
      <w:r w:rsidRPr="00CC28AC">
        <w:t xml:space="preserve"> quelle con filiali, negozi, uffici commerciali o impianti di produzione situati all’estero. Inoltre, la rete internazionale non riguarda solo l’e</w:t>
      </w:r>
      <w:r w:rsidR="00CE603A" w:rsidRPr="00CC28AC">
        <w:t xml:space="preserve">xport, </w:t>
      </w:r>
      <w:r w:rsidRPr="00CC28AC">
        <w:t>poiché nel 26,7% dei casi queste imprese importano materiali e componenti.</w:t>
      </w:r>
      <w:r w:rsidR="00CE603A" w:rsidRPr="00CC28AC">
        <w:t xml:space="preserve"> La quota media di fatturato conseguito all’estero è il 73,3% (44,9% nei paesi UE).</w:t>
      </w:r>
      <w:r w:rsidR="00CE603A">
        <w:t xml:space="preserve"> </w:t>
      </w:r>
      <w:r>
        <w:t>Solamente un’impresa su cinque di quelle afferenti a questo cluster dichiara ricavi oltre i 50 milioni di euro</w:t>
      </w:r>
      <w:r w:rsidR="00CE603A">
        <w:t>.</w:t>
      </w:r>
    </w:p>
    <w:p w14:paraId="544E28E9" w14:textId="77777777" w:rsidR="00910878" w:rsidRDefault="00910878" w:rsidP="00C94173">
      <w:pPr>
        <w:jc w:val="both"/>
      </w:pPr>
    </w:p>
    <w:p w14:paraId="51F7EF20" w14:textId="4D8F4155" w:rsidR="00CE603A" w:rsidRDefault="00CC28AC" w:rsidP="00CE603A">
      <w:pPr>
        <w:jc w:val="both"/>
      </w:pPr>
      <w:r>
        <w:t>Il cluster degli “esportatori attenti al mercato domestico”</w:t>
      </w:r>
      <w:r w:rsidR="00CE603A">
        <w:t xml:space="preserve"> </w:t>
      </w:r>
      <w:r w:rsidR="00CE603A" w:rsidRPr="003F16DC">
        <w:t>raggrupp</w:t>
      </w:r>
      <w:r w:rsidR="00D3535D">
        <w:t xml:space="preserve">a tutte quelle imprese </w:t>
      </w:r>
      <w:r w:rsidR="00CE603A" w:rsidRPr="003F16DC">
        <w:t>– poco più di una su tre</w:t>
      </w:r>
      <w:r w:rsidR="00CE603A">
        <w:t>, 35,6%</w:t>
      </w:r>
      <w:r w:rsidR="00CE603A" w:rsidRPr="003F16DC">
        <w:t xml:space="preserve"> </w:t>
      </w:r>
      <w:r w:rsidR="00CE603A" w:rsidRPr="00CC28AC">
        <w:t>–</w:t>
      </w:r>
      <w:r w:rsidR="002A200C" w:rsidRPr="00CC28AC">
        <w:t xml:space="preserve"> </w:t>
      </w:r>
      <w:r w:rsidR="00CE603A" w:rsidRPr="00CC28AC">
        <w:t xml:space="preserve">il cui </w:t>
      </w:r>
      <w:r w:rsidR="00CE603A" w:rsidRPr="00CC28AC">
        <w:rPr>
          <w:b/>
          <w:bCs/>
        </w:rPr>
        <w:t>fatturato è conseguito per una quota</w:t>
      </w:r>
      <w:r w:rsidR="00402695" w:rsidRPr="00CC28AC">
        <w:rPr>
          <w:b/>
          <w:bCs/>
        </w:rPr>
        <w:t xml:space="preserve"> </w:t>
      </w:r>
      <w:r w:rsidR="00CE603A" w:rsidRPr="00CC28AC">
        <w:rPr>
          <w:b/>
          <w:bCs/>
        </w:rPr>
        <w:t>pari al 24% all’e</w:t>
      </w:r>
      <w:r w:rsidR="002A200C" w:rsidRPr="00CC28AC">
        <w:rPr>
          <w:b/>
          <w:bCs/>
        </w:rPr>
        <w:t>ster</w:t>
      </w:r>
      <w:r w:rsidR="00402695" w:rsidRPr="00CC28AC">
        <w:rPr>
          <w:b/>
          <w:bCs/>
        </w:rPr>
        <w:t>o</w:t>
      </w:r>
      <w:r w:rsidR="00402695" w:rsidRPr="00CC28AC">
        <w:t xml:space="preserve"> (valore medio), </w:t>
      </w:r>
      <w:r w:rsidR="002A200C" w:rsidRPr="00CC28AC">
        <w:t xml:space="preserve">ma che mantengono come mercato di riferimento quello interno. </w:t>
      </w:r>
      <w:r w:rsidR="00CE603A" w:rsidRPr="00CC28AC">
        <w:t>La</w:t>
      </w:r>
      <w:r w:rsidR="00CE603A" w:rsidRPr="003F16DC">
        <w:t xml:space="preserve"> percentuale di quelle che importano materiali e componenti è del 18,6%</w:t>
      </w:r>
      <w:r w:rsidR="00CE603A">
        <w:t>.</w:t>
      </w:r>
      <w:r w:rsidR="00CE603A" w:rsidRPr="003F16DC">
        <w:t xml:space="preserve"> Si tratta di imprese che nel 45% circa dei casi hanno meno di 50 addetti e con fatturato in prevalenza sotto i 10 milioni di euro.</w:t>
      </w:r>
    </w:p>
    <w:p w14:paraId="52180462" w14:textId="77777777" w:rsidR="00CE603A" w:rsidRDefault="00CE603A" w:rsidP="00C94173">
      <w:pPr>
        <w:jc w:val="both"/>
      </w:pPr>
    </w:p>
    <w:p w14:paraId="5EEFE56B" w14:textId="027AFD1A" w:rsidR="005A2813" w:rsidRDefault="00D3535D" w:rsidP="00C94173">
      <w:pPr>
        <w:jc w:val="both"/>
        <w:rPr>
          <w:b/>
          <w:bCs/>
        </w:rPr>
      </w:pPr>
      <w:r w:rsidRPr="00CC28AC">
        <w:t>Un’altra porzione di imprese</w:t>
      </w:r>
      <w:bookmarkStart w:id="10" w:name="_Hlk157185551"/>
      <w:r w:rsidRPr="00CC28AC">
        <w:t xml:space="preserve"> </w:t>
      </w:r>
      <w:r w:rsidR="00402695" w:rsidRPr="00CC28AC">
        <w:t>–</w:t>
      </w:r>
      <w:bookmarkEnd w:id="10"/>
      <w:r w:rsidR="00402695" w:rsidRPr="00CC28AC">
        <w:t xml:space="preserve"> circa una su quattro, 26%</w:t>
      </w:r>
      <w:r w:rsidRPr="00CC28AC">
        <w:t xml:space="preserve"> – rientra nel </w:t>
      </w:r>
      <w:r w:rsidR="005A2813" w:rsidRPr="00CC28AC">
        <w:t>raggruppamento delle imprese che per</w:t>
      </w:r>
      <w:r w:rsidR="005A2813">
        <w:t xml:space="preserve"> lo più </w:t>
      </w:r>
      <w:r w:rsidR="005A2813" w:rsidRPr="00BF5DA6">
        <w:rPr>
          <w:b/>
          <w:bCs/>
        </w:rPr>
        <w:t>non esportano</w:t>
      </w:r>
      <w:r w:rsidR="003376F7">
        <w:rPr>
          <w:b/>
          <w:bCs/>
        </w:rPr>
        <w:t xml:space="preserve"> o che lo fa occasionalmente</w:t>
      </w:r>
      <w:r w:rsidR="005E7653" w:rsidRPr="00D3535D">
        <w:t>.</w:t>
      </w:r>
      <w:r w:rsidR="005E7653">
        <w:rPr>
          <w:b/>
          <w:bCs/>
        </w:rPr>
        <w:t xml:space="preserve"> </w:t>
      </w:r>
      <w:r w:rsidR="005E7653">
        <w:t>Sono le imprese inserite nel</w:t>
      </w:r>
      <w:r w:rsidR="00914DD3">
        <w:t xml:space="preserve"> cluster</w:t>
      </w:r>
      <w:r w:rsidR="005E7653">
        <w:t xml:space="preserve"> </w:t>
      </w:r>
      <w:r w:rsidR="00236E87">
        <w:t>“</w:t>
      </w:r>
      <w:r w:rsidR="00236E87" w:rsidRPr="00236E87">
        <w:t>Esportatori occasionali/non esportatori</w:t>
      </w:r>
      <w:r w:rsidR="00236E87">
        <w:t>”</w:t>
      </w:r>
      <w:r w:rsidR="005A2813">
        <w:t xml:space="preserve">. </w:t>
      </w:r>
      <w:r w:rsidR="0022730F">
        <w:t>S</w:t>
      </w:r>
      <w:r w:rsidR="00914DD3">
        <w:t xml:space="preserve">ono principalmente </w:t>
      </w:r>
      <w:r w:rsidR="00E33F4C">
        <w:t xml:space="preserve">imprese </w:t>
      </w:r>
      <w:r w:rsidR="00914DD3">
        <w:t xml:space="preserve">di piccole dimensioni e fatturano in media meno di </w:t>
      </w:r>
      <w:proofErr w:type="gramStart"/>
      <w:r w:rsidR="00914DD3">
        <w:t>10</w:t>
      </w:r>
      <w:proofErr w:type="gramEnd"/>
      <w:r w:rsidR="00914DD3">
        <w:t xml:space="preserve"> milioni di </w:t>
      </w:r>
      <w:r w:rsidR="00F32F8E">
        <w:t>euro</w:t>
      </w:r>
      <w:r w:rsidR="00914DD3">
        <w:t xml:space="preserve">. </w:t>
      </w:r>
      <w:r w:rsidR="00914DD3" w:rsidRPr="00BF5DA6">
        <w:rPr>
          <w:b/>
          <w:bCs/>
        </w:rPr>
        <w:t xml:space="preserve">Il loro rapporto di vendita in mercati esteri è </w:t>
      </w:r>
      <w:r w:rsidR="00F32F8E" w:rsidRPr="00BF5DA6">
        <w:rPr>
          <w:b/>
          <w:bCs/>
        </w:rPr>
        <w:t>prevalentemente</w:t>
      </w:r>
      <w:r w:rsidR="00914DD3" w:rsidRPr="00BF5DA6">
        <w:rPr>
          <w:b/>
          <w:bCs/>
        </w:rPr>
        <w:t xml:space="preserve"> occasionale.</w:t>
      </w:r>
    </w:p>
    <w:p w14:paraId="43909DDB" w14:textId="77777777" w:rsidR="00236E87" w:rsidRPr="00BF5DA6" w:rsidRDefault="00236E87" w:rsidP="00C94173">
      <w:pPr>
        <w:jc w:val="both"/>
        <w:rPr>
          <w:b/>
          <w:bCs/>
        </w:rPr>
      </w:pPr>
    </w:p>
    <w:p w14:paraId="4DF11B88" w14:textId="77777777" w:rsidR="00D667DA" w:rsidRDefault="00D667DA" w:rsidP="009F0E8A"/>
    <w:p w14:paraId="0A0DA4C9" w14:textId="77777777" w:rsidR="003C5E74" w:rsidRDefault="003C5E74" w:rsidP="009F0E8A"/>
    <w:p w14:paraId="6DB113B3" w14:textId="77777777" w:rsidR="00C76FBA" w:rsidRPr="00914682" w:rsidRDefault="00C76FBA" w:rsidP="00914682">
      <w:pPr>
        <w:spacing w:after="160"/>
        <w:rPr>
          <w:highlight w:val="yellow"/>
        </w:rPr>
      </w:pPr>
      <w:r>
        <w:br w:type="page"/>
      </w:r>
    </w:p>
    <w:p w14:paraId="210E9142" w14:textId="4693C3E6" w:rsidR="00D524FD" w:rsidRPr="00015C88" w:rsidRDefault="004269D1" w:rsidP="00075241">
      <w:pPr>
        <w:pStyle w:val="Titolo2"/>
      </w:pPr>
      <w:bookmarkStart w:id="11" w:name="_Toc157430701"/>
      <w:r w:rsidRPr="00015C88">
        <w:lastRenderedPageBreak/>
        <w:t xml:space="preserve">3. </w:t>
      </w:r>
      <w:r w:rsidR="000019D0">
        <w:t>Guardando al futuro: i paesi target per l’export</w:t>
      </w:r>
      <w:bookmarkEnd w:id="11"/>
    </w:p>
    <w:p w14:paraId="723EB216" w14:textId="77777777" w:rsidR="003D5F2B" w:rsidRDefault="003D5F2B" w:rsidP="00075241"/>
    <w:p w14:paraId="277A3AC4" w14:textId="7A461BF3" w:rsidR="003C5E74" w:rsidRDefault="003C5E74" w:rsidP="00075241"/>
    <w:p w14:paraId="00D59BD9" w14:textId="7CCADCFC" w:rsidR="00776CF7" w:rsidRDefault="00D25672" w:rsidP="002F3F15">
      <w:pPr>
        <w:jc w:val="both"/>
      </w:pPr>
      <w:r>
        <w:t xml:space="preserve">Provando a guardare al futuro, si è chiesto alle imprese quali siano i </w:t>
      </w:r>
      <w:r w:rsidR="00BB5570">
        <w:t>P</w:t>
      </w:r>
      <w:r>
        <w:t>aesi identificati</w:t>
      </w:r>
      <w:r w:rsidR="006201D3">
        <w:t xml:space="preserve"> come “target” </w:t>
      </w:r>
      <w:r>
        <w:t>per il 2024.</w:t>
      </w:r>
    </w:p>
    <w:p w14:paraId="38094D84" w14:textId="77777777" w:rsidR="002F3F15" w:rsidRPr="002F3F15" w:rsidRDefault="002F3F15" w:rsidP="002F3F15">
      <w:pPr>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57CFD" w14:paraId="6165EC8C" w14:textId="77777777" w:rsidTr="007E69E6">
        <w:tc>
          <w:tcPr>
            <w:tcW w:w="9638" w:type="dxa"/>
          </w:tcPr>
          <w:p w14:paraId="18A73340" w14:textId="5EE059CE" w:rsidR="00957CFD" w:rsidRPr="002908D9" w:rsidRDefault="002908D9" w:rsidP="00075241">
            <w:pPr>
              <w:rPr>
                <w:b/>
                <w:bCs/>
                <w:noProof/>
              </w:rPr>
            </w:pPr>
            <w:r w:rsidRPr="002908D9">
              <w:rPr>
                <w:b/>
                <w:bCs/>
                <w:noProof/>
              </w:rPr>
              <w:t xml:space="preserve">Fig. 3.1a - </w:t>
            </w:r>
            <w:r w:rsidR="00957CFD" w:rsidRPr="002908D9">
              <w:rPr>
                <w:b/>
                <w:bCs/>
                <w:noProof/>
              </w:rPr>
              <w:t>Primo paese target</w:t>
            </w:r>
            <w:r>
              <w:rPr>
                <w:b/>
                <w:bCs/>
                <w:noProof/>
              </w:rPr>
              <w:t xml:space="preserve"> </w:t>
            </w:r>
            <w:r w:rsidR="00822B54">
              <w:rPr>
                <w:b/>
                <w:bCs/>
                <w:noProof/>
              </w:rPr>
              <w:t xml:space="preserve">per l’export nel 2024 </w:t>
            </w:r>
            <w:r>
              <w:rPr>
                <w:b/>
                <w:bCs/>
                <w:noProof/>
              </w:rPr>
              <w:t>(val %)</w:t>
            </w:r>
          </w:p>
        </w:tc>
      </w:tr>
      <w:tr w:rsidR="00957CFD" w14:paraId="02A15058" w14:textId="77777777" w:rsidTr="002F3F15">
        <w:tblPrEx>
          <w:tblCellMar>
            <w:left w:w="70" w:type="dxa"/>
            <w:right w:w="70" w:type="dxa"/>
          </w:tblCellMar>
        </w:tblPrEx>
        <w:tc>
          <w:tcPr>
            <w:tcW w:w="9638" w:type="dxa"/>
          </w:tcPr>
          <w:p w14:paraId="1666D90C" w14:textId="6AF12452" w:rsidR="00957CFD" w:rsidRDefault="002F3F15" w:rsidP="00075241">
            <w:pPr>
              <w:rPr>
                <w:b/>
                <w:bCs/>
              </w:rPr>
            </w:pPr>
            <w:r>
              <w:rPr>
                <w:noProof/>
              </w:rPr>
              <w:drawing>
                <wp:inline distT="0" distB="0" distL="0" distR="0" wp14:anchorId="400B4497" wp14:editId="63AAEB50">
                  <wp:extent cx="6066155" cy="2151185"/>
                  <wp:effectExtent l="0" t="0" r="0" b="1905"/>
                  <wp:docPr id="715153318" name="Grafico 1">
                    <a:extLst xmlns:a="http://schemas.openxmlformats.org/drawingml/2006/main">
                      <a:ext uri="{FF2B5EF4-FFF2-40B4-BE49-F238E27FC236}">
                        <a16:creationId xmlns:a16="http://schemas.microsoft.com/office/drawing/2014/main" id="{73422CC0-B5AC-6D50-E755-2BDD73ADA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908D9" w14:paraId="5B6081EC" w14:textId="77777777" w:rsidTr="002F3F15">
        <w:tc>
          <w:tcPr>
            <w:tcW w:w="9638" w:type="dxa"/>
          </w:tcPr>
          <w:p w14:paraId="502CA270" w14:textId="2ADBF8BA" w:rsidR="002908D9" w:rsidRDefault="002908D9" w:rsidP="002908D9">
            <w:pPr>
              <w:rPr>
                <w:b/>
                <w:bCs/>
              </w:rPr>
            </w:pPr>
            <w:r w:rsidRPr="002908D9">
              <w:rPr>
                <w:b/>
                <w:bCs/>
                <w:noProof/>
              </w:rPr>
              <w:t>Fig. 3.1</w:t>
            </w:r>
            <w:r>
              <w:rPr>
                <w:b/>
                <w:bCs/>
                <w:noProof/>
              </w:rPr>
              <w:t>b</w:t>
            </w:r>
            <w:r w:rsidRPr="002908D9">
              <w:rPr>
                <w:b/>
                <w:bCs/>
                <w:noProof/>
              </w:rPr>
              <w:t xml:space="preserve">- </w:t>
            </w:r>
            <w:r>
              <w:rPr>
                <w:b/>
                <w:bCs/>
                <w:noProof/>
              </w:rPr>
              <w:t>Secondo</w:t>
            </w:r>
            <w:r w:rsidRPr="002908D9">
              <w:rPr>
                <w:b/>
                <w:bCs/>
                <w:noProof/>
              </w:rPr>
              <w:t xml:space="preserve"> paese target</w:t>
            </w:r>
            <w:r>
              <w:rPr>
                <w:b/>
                <w:bCs/>
                <w:noProof/>
              </w:rPr>
              <w:t xml:space="preserve"> </w:t>
            </w:r>
            <w:r w:rsidR="00822B54">
              <w:rPr>
                <w:b/>
                <w:bCs/>
                <w:noProof/>
              </w:rPr>
              <w:t xml:space="preserve">per l’export nel 2024 </w:t>
            </w:r>
            <w:r>
              <w:rPr>
                <w:b/>
                <w:bCs/>
                <w:noProof/>
              </w:rPr>
              <w:t>(val %)</w:t>
            </w:r>
          </w:p>
        </w:tc>
      </w:tr>
      <w:tr w:rsidR="002908D9" w14:paraId="234B5576" w14:textId="77777777" w:rsidTr="002F3F15">
        <w:tblPrEx>
          <w:tblCellMar>
            <w:left w:w="70" w:type="dxa"/>
            <w:right w:w="70" w:type="dxa"/>
          </w:tblCellMar>
        </w:tblPrEx>
        <w:tc>
          <w:tcPr>
            <w:tcW w:w="9638" w:type="dxa"/>
          </w:tcPr>
          <w:p w14:paraId="0193EF2D" w14:textId="7EDA328B" w:rsidR="002908D9" w:rsidRDefault="000B2355" w:rsidP="002908D9">
            <w:pPr>
              <w:rPr>
                <w:b/>
                <w:bCs/>
              </w:rPr>
            </w:pPr>
            <w:r>
              <w:rPr>
                <w:noProof/>
              </w:rPr>
              <w:drawing>
                <wp:inline distT="0" distB="0" distL="0" distR="0" wp14:anchorId="13D1FC9A" wp14:editId="6A14E04B">
                  <wp:extent cx="6066155" cy="1951893"/>
                  <wp:effectExtent l="0" t="0" r="0" b="0"/>
                  <wp:docPr id="581476317" name="Grafico 1">
                    <a:extLst xmlns:a="http://schemas.openxmlformats.org/drawingml/2006/main">
                      <a:ext uri="{FF2B5EF4-FFF2-40B4-BE49-F238E27FC236}">
                        <a16:creationId xmlns:a16="http://schemas.microsoft.com/office/drawing/2014/main" id="{8D420103-B0E3-E07D-E9DA-A6AD315EB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22B54" w14:paraId="4D871D1D" w14:textId="77777777" w:rsidTr="002F3F15">
        <w:tc>
          <w:tcPr>
            <w:tcW w:w="9638" w:type="dxa"/>
          </w:tcPr>
          <w:p w14:paraId="3B6FDD3C" w14:textId="53E1D3A8" w:rsidR="00822B54" w:rsidRDefault="00822B54" w:rsidP="00822B54">
            <w:pPr>
              <w:rPr>
                <w:b/>
                <w:bCs/>
              </w:rPr>
            </w:pPr>
            <w:r w:rsidRPr="002908D9">
              <w:rPr>
                <w:b/>
                <w:bCs/>
                <w:noProof/>
              </w:rPr>
              <w:t>Fig. 3.1</w:t>
            </w:r>
            <w:r>
              <w:rPr>
                <w:b/>
                <w:bCs/>
                <w:noProof/>
              </w:rPr>
              <w:t>c</w:t>
            </w:r>
            <w:r w:rsidRPr="002908D9">
              <w:rPr>
                <w:b/>
                <w:bCs/>
                <w:noProof/>
              </w:rPr>
              <w:t xml:space="preserve"> - </w:t>
            </w:r>
            <w:r>
              <w:rPr>
                <w:b/>
                <w:bCs/>
                <w:noProof/>
              </w:rPr>
              <w:t>Terzo</w:t>
            </w:r>
            <w:r w:rsidRPr="002908D9">
              <w:rPr>
                <w:b/>
                <w:bCs/>
                <w:noProof/>
              </w:rPr>
              <w:t xml:space="preserve"> paese target</w:t>
            </w:r>
            <w:r>
              <w:rPr>
                <w:b/>
                <w:bCs/>
                <w:noProof/>
              </w:rPr>
              <w:t xml:space="preserve"> per l’export nel 2024 (val %)</w:t>
            </w:r>
          </w:p>
        </w:tc>
      </w:tr>
      <w:tr w:rsidR="002908D9" w14:paraId="3AAC700F" w14:textId="77777777" w:rsidTr="002F3F15">
        <w:tblPrEx>
          <w:tblCellMar>
            <w:left w:w="70" w:type="dxa"/>
            <w:right w:w="70" w:type="dxa"/>
          </w:tblCellMar>
        </w:tblPrEx>
        <w:tc>
          <w:tcPr>
            <w:tcW w:w="9638" w:type="dxa"/>
          </w:tcPr>
          <w:p w14:paraId="1C1A5E9D" w14:textId="761322A1" w:rsidR="002908D9" w:rsidRDefault="000A4634" w:rsidP="002908D9">
            <w:pPr>
              <w:rPr>
                <w:b/>
                <w:bCs/>
              </w:rPr>
            </w:pPr>
            <w:r>
              <w:rPr>
                <w:noProof/>
              </w:rPr>
              <w:drawing>
                <wp:inline distT="0" distB="0" distL="0" distR="0" wp14:anchorId="57246988" wp14:editId="779BBB84">
                  <wp:extent cx="5955030" cy="1910862"/>
                  <wp:effectExtent l="0" t="0" r="7620" b="0"/>
                  <wp:docPr id="757374630" name="Grafico 1">
                    <a:extLst xmlns:a="http://schemas.openxmlformats.org/drawingml/2006/main">
                      <a:ext uri="{FF2B5EF4-FFF2-40B4-BE49-F238E27FC236}">
                        <a16:creationId xmlns:a16="http://schemas.microsoft.com/office/drawing/2014/main" id="{18989A5B-5EBF-AE9B-737F-C04415FA3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20A41E8" w14:textId="77777777" w:rsidR="00EF308F" w:rsidRPr="00FE0BDD" w:rsidRDefault="00EF308F" w:rsidP="00EF308F">
      <w:pPr>
        <w:rPr>
          <w:sz w:val="18"/>
          <w:szCs w:val="18"/>
        </w:rPr>
      </w:pPr>
      <w:r w:rsidRPr="00FE0BDD">
        <w:rPr>
          <w:sz w:val="18"/>
          <w:szCs w:val="18"/>
        </w:rPr>
        <w:t>Fonte: Fondazione Nord Est 2023 (</w:t>
      </w:r>
      <w:r>
        <w:rPr>
          <w:sz w:val="18"/>
          <w:szCs w:val="18"/>
        </w:rPr>
        <w:t>649</w:t>
      </w:r>
      <w:r w:rsidRPr="00FE0BDD">
        <w:rPr>
          <w:sz w:val="18"/>
          <w:szCs w:val="18"/>
        </w:rPr>
        <w:t xml:space="preserve"> casi)</w:t>
      </w:r>
    </w:p>
    <w:p w14:paraId="5C993AA9" w14:textId="77777777" w:rsidR="00771607" w:rsidRDefault="00771607" w:rsidP="00415A6C">
      <w:pPr>
        <w:jc w:val="both"/>
      </w:pPr>
    </w:p>
    <w:p w14:paraId="3012931E" w14:textId="5D329EDE" w:rsidR="00415A6C" w:rsidRDefault="00A06596" w:rsidP="00415A6C">
      <w:pPr>
        <w:jc w:val="both"/>
      </w:pPr>
      <w:r w:rsidRPr="00A06596">
        <w:t>Co</w:t>
      </w:r>
      <w:r>
        <w:t>me si pu</w:t>
      </w:r>
      <w:r w:rsidR="00265289">
        <w:t>ò evincere da</w:t>
      </w:r>
      <w:r w:rsidR="00B05F75">
        <w:t>i grafic</w:t>
      </w:r>
      <w:r w:rsidR="00BB5570">
        <w:t xml:space="preserve">i, </w:t>
      </w:r>
      <w:r w:rsidR="0005004C">
        <w:t>il Paese</w:t>
      </w:r>
      <w:r w:rsidR="00B05F75">
        <w:t xml:space="preserve"> che </w:t>
      </w:r>
      <w:r w:rsidR="00502B6F">
        <w:t xml:space="preserve">viene </w:t>
      </w:r>
      <w:r w:rsidR="003F1D18">
        <w:t>indicat</w:t>
      </w:r>
      <w:r w:rsidR="00BB5570">
        <w:t>o</w:t>
      </w:r>
      <w:r w:rsidR="003F1D18">
        <w:t xml:space="preserve"> come prim</w:t>
      </w:r>
      <w:r w:rsidR="00FF15C1">
        <w:t>o</w:t>
      </w:r>
      <w:r w:rsidR="003F1D18">
        <w:t>, secondo</w:t>
      </w:r>
      <w:r w:rsidR="00502B6F">
        <w:t xml:space="preserve"> e </w:t>
      </w:r>
      <w:r w:rsidR="003F1D18">
        <w:t>terzo target</w:t>
      </w:r>
      <w:r w:rsidR="00216C55">
        <w:t xml:space="preserve"> è la </w:t>
      </w:r>
      <w:r w:rsidR="00216C55" w:rsidRPr="00BB5570">
        <w:rPr>
          <w:b/>
          <w:bCs/>
        </w:rPr>
        <w:t>Germania</w:t>
      </w:r>
      <w:r w:rsidR="00216C55">
        <w:t xml:space="preserve">. </w:t>
      </w:r>
      <w:r w:rsidR="00227C6B">
        <w:t xml:space="preserve">Il </w:t>
      </w:r>
      <w:r w:rsidR="00BB5570">
        <w:t>P</w:t>
      </w:r>
      <w:r w:rsidR="00227C6B">
        <w:t>aese che ospita l</w:t>
      </w:r>
      <w:r w:rsidR="00216C55">
        <w:t xml:space="preserve">a prima industria manifatturiera d’Europa </w:t>
      </w:r>
      <w:r w:rsidR="00B5585C">
        <w:t xml:space="preserve">è </w:t>
      </w:r>
      <w:r w:rsidR="00FF6AB8">
        <w:t xml:space="preserve">infatti </w:t>
      </w:r>
      <w:r w:rsidR="00B5585C">
        <w:t>a</w:t>
      </w:r>
      <w:r w:rsidR="00FF6AB8">
        <w:t>l vertice delle prospettive riguardanti l’export</w:t>
      </w:r>
      <w:r w:rsidR="00B463BE">
        <w:t xml:space="preserve"> per il 2024, seguit</w:t>
      </w:r>
      <w:r w:rsidR="007472A8">
        <w:t>o</w:t>
      </w:r>
      <w:r w:rsidR="00B463BE">
        <w:t xml:space="preserve"> da </w:t>
      </w:r>
      <w:r w:rsidR="00B463BE" w:rsidRPr="00BB5570">
        <w:rPr>
          <w:b/>
          <w:bCs/>
        </w:rPr>
        <w:t>Francia</w:t>
      </w:r>
      <w:r w:rsidR="00B463BE">
        <w:t xml:space="preserve"> e </w:t>
      </w:r>
      <w:r w:rsidR="00B463BE" w:rsidRPr="00BB5570">
        <w:rPr>
          <w:b/>
          <w:bCs/>
        </w:rPr>
        <w:t>Stati Uniti</w:t>
      </w:r>
      <w:r w:rsidR="00B463BE">
        <w:t>.</w:t>
      </w:r>
    </w:p>
    <w:p w14:paraId="6EF102A6" w14:textId="1ABCED9B" w:rsidR="00461EE7" w:rsidRDefault="00DC5BE2" w:rsidP="00415A6C">
      <w:pPr>
        <w:jc w:val="both"/>
      </w:pPr>
      <w:r>
        <w:lastRenderedPageBreak/>
        <w:t xml:space="preserve">Spicca in particolare il valore attribuito </w:t>
      </w:r>
      <w:r w:rsidR="004E5593">
        <w:t xml:space="preserve">alla Germania </w:t>
      </w:r>
      <w:r w:rsidR="00A55EC0">
        <w:t xml:space="preserve">come primo </w:t>
      </w:r>
      <w:r w:rsidR="00BB5570">
        <w:t>P</w:t>
      </w:r>
      <w:r w:rsidR="00A55EC0">
        <w:t>aese di interesse per l’export</w:t>
      </w:r>
      <w:r w:rsidR="005F7869">
        <w:t xml:space="preserve"> dalle imprese del comparto metalmeccanic</w:t>
      </w:r>
      <w:r w:rsidR="00BB5570">
        <w:t>o, c</w:t>
      </w:r>
      <w:r w:rsidR="005F7869">
        <w:t xml:space="preserve">he </w:t>
      </w:r>
      <w:r w:rsidR="000B0CA2">
        <w:t>supera di oltre dieci punti percentuali quello dichiarato dalle imprese degli altri settori</w:t>
      </w:r>
      <w:r w:rsidR="00CD39BD">
        <w:t xml:space="preserve"> a dimostrazione della forte integrazione tra le filiere della meccanica italiane e tedesche.</w:t>
      </w:r>
      <w:r w:rsidR="00BB5570">
        <w:t xml:space="preserve"> </w:t>
      </w:r>
      <w:r w:rsidR="000B0CA2">
        <w:t xml:space="preserve">Allo stesso modo </w:t>
      </w:r>
      <w:r w:rsidR="000B0CA2" w:rsidRPr="00BB5570">
        <w:t>l’Austria risulta</w:t>
      </w:r>
      <w:r w:rsidR="000B0CA2">
        <w:t xml:space="preserve"> </w:t>
      </w:r>
      <w:r w:rsidR="00BA12C2">
        <w:t>in tutte e tre le graduatorie</w:t>
      </w:r>
      <w:r w:rsidR="000B0CA2">
        <w:t xml:space="preserve"> più </w:t>
      </w:r>
      <w:r w:rsidR="00BA12C2">
        <w:t>legata al settore metalmeccanico rispetto agli altri campi. Stati Uniti e Francia risultano invece ben più importanti per i</w:t>
      </w:r>
      <w:r w:rsidR="00415A6C">
        <w:t>l</w:t>
      </w:r>
      <w:r w:rsidR="00BA12C2">
        <w:t xml:space="preserve"> </w:t>
      </w:r>
      <w:r w:rsidR="00415A6C">
        <w:t xml:space="preserve">resto dei </w:t>
      </w:r>
      <w:r w:rsidR="00BA12C2">
        <w:t>settori</w:t>
      </w:r>
      <w:r w:rsidR="00415A6C">
        <w:t>.</w:t>
      </w:r>
      <w:r w:rsidR="00232112">
        <w:t xml:space="preserve"> </w:t>
      </w:r>
      <w:r w:rsidR="000A4FB8">
        <w:t xml:space="preserve">Si noti inoltre la presenza – emergente – degli </w:t>
      </w:r>
      <w:r w:rsidR="000A4FB8" w:rsidRPr="00BB5570">
        <w:rPr>
          <w:b/>
          <w:bCs/>
        </w:rPr>
        <w:t>Emirati Arabi Uniti</w:t>
      </w:r>
      <w:r w:rsidR="000A4FB8">
        <w:t xml:space="preserve"> </w:t>
      </w:r>
      <w:r w:rsidR="00890676">
        <w:t>nella graduatoria del terzo paese più rilevante per l’export 2024.</w:t>
      </w:r>
    </w:p>
    <w:p w14:paraId="1E29899C" w14:textId="05632177" w:rsidR="00767FEF" w:rsidRDefault="00767FEF" w:rsidP="00075241"/>
    <w:p w14:paraId="4F5B82BA" w14:textId="1BEE1994" w:rsidR="00F03159" w:rsidRPr="00A06596" w:rsidRDefault="00220AA4" w:rsidP="00AB5395">
      <w:pPr>
        <w:jc w:val="both"/>
      </w:pPr>
      <w:r>
        <w:t>Porre</w:t>
      </w:r>
      <w:r w:rsidR="0017316A">
        <w:t xml:space="preserve"> una lente d’ingrandimento sul continente europe</w:t>
      </w:r>
      <w:r>
        <w:t>o permette di cogliere qualche informazione aggiuntiva.</w:t>
      </w:r>
      <w:r w:rsidR="00AC1C8D">
        <w:t xml:space="preserve"> </w:t>
      </w:r>
      <w:r>
        <w:t>Innanzitutto</w:t>
      </w:r>
      <w:r w:rsidR="00AC1C8D">
        <w:t>,</w:t>
      </w:r>
      <w:r w:rsidR="00415A6C">
        <w:t xml:space="preserve"> si può </w:t>
      </w:r>
      <w:r w:rsidR="002123CE">
        <w:t xml:space="preserve">confermare la rilevanza dei </w:t>
      </w:r>
      <w:r w:rsidR="00BB5570">
        <w:t>P</w:t>
      </w:r>
      <w:r w:rsidR="002123CE">
        <w:t xml:space="preserve">aesi confinanti per </w:t>
      </w:r>
      <w:r w:rsidR="007854A6">
        <w:t xml:space="preserve">quanto riguarda </w:t>
      </w:r>
      <w:r w:rsidR="002123CE">
        <w:t>l’export: Svizzera, Austria e Slovenia</w:t>
      </w:r>
      <w:r w:rsidR="00246249">
        <w:t xml:space="preserve"> – oltre alla Francia –</w:t>
      </w:r>
      <w:r w:rsidR="002123CE">
        <w:t xml:space="preserve"> sono infatti presenti in tutte le classifiche (con l</w:t>
      </w:r>
      <w:r w:rsidR="002E1E6A">
        <w:t xml:space="preserve">a sola </w:t>
      </w:r>
      <w:r w:rsidR="00B66687">
        <w:t>assenza della Slovenia nel terzo caso).</w:t>
      </w:r>
      <w:r w:rsidR="001B705E">
        <w:t xml:space="preserve"> </w:t>
      </w:r>
      <w:r w:rsidR="00213AE3">
        <w:t xml:space="preserve">La seconda caratteristica su cui è possibile ragionare è l’ampissimo distacco tra </w:t>
      </w:r>
      <w:r w:rsidR="00240ABF">
        <w:t>il duo Francia-Germania e il resto dei paesi dell’Unione</w:t>
      </w:r>
      <w:r w:rsidR="00A9680D">
        <w:t xml:space="preserve">. Vi è però da specificare che il quesito </w:t>
      </w:r>
      <w:r w:rsidR="00E7411B">
        <w:t xml:space="preserve">per sua </w:t>
      </w:r>
      <w:r w:rsidR="00983863">
        <w:t xml:space="preserve">specifica costruzione </w:t>
      </w:r>
      <w:r w:rsidR="00A9680D">
        <w:t>attribuisce particolare rilevanza alla prima posizione</w:t>
      </w:r>
      <w:r w:rsidR="00655CE5">
        <w:t xml:space="preserve"> e dunque giunge a polarizzare i risultati.</w:t>
      </w:r>
      <w:r w:rsidR="00030F79">
        <w:t xml:space="preserve"> </w:t>
      </w:r>
      <w:r w:rsidR="005340A1">
        <w:t>In terzo luogo</w:t>
      </w:r>
      <w:r w:rsidR="00030F79">
        <w:t>,</w:t>
      </w:r>
      <w:r w:rsidR="005340A1">
        <w:t xml:space="preserve"> </w:t>
      </w:r>
      <w:r w:rsidR="005F205F">
        <w:t>si può ragionare sull</w:t>
      </w:r>
      <w:r w:rsidR="00F03159">
        <w:t xml:space="preserve">’importanza </w:t>
      </w:r>
      <w:r w:rsidR="00AF5F15">
        <w:t>che il</w:t>
      </w:r>
      <w:r w:rsidR="00F03159">
        <w:t xml:space="preserve"> Regno Unito</w:t>
      </w:r>
      <w:r w:rsidR="00AF5F15">
        <w:t xml:space="preserve"> continua ad avere</w:t>
      </w:r>
      <w:r w:rsidR="00EF3C9B">
        <w:t xml:space="preserve"> nonostante </w:t>
      </w:r>
      <w:r w:rsidR="00AF5F15">
        <w:t>la</w:t>
      </w:r>
      <w:r w:rsidR="00EF3C9B">
        <w:t xml:space="preserve"> Brexit</w:t>
      </w:r>
      <w:r w:rsidR="00AF5F15">
        <w:t>. UK</w:t>
      </w:r>
      <w:r w:rsidR="00EF3C9B">
        <w:t xml:space="preserve"> </w:t>
      </w:r>
      <w:r w:rsidR="00DC72AF">
        <w:t xml:space="preserve">rimane il terzo </w:t>
      </w:r>
      <w:r w:rsidR="00744EF3">
        <w:t>partner</w:t>
      </w:r>
      <w:r w:rsidR="00DC72AF">
        <w:t xml:space="preserve"> commerciale per le imprese </w:t>
      </w:r>
      <w:r w:rsidR="004D0A28">
        <w:t>in Europa</w:t>
      </w:r>
      <w:r w:rsidR="007558CE">
        <w:t xml:space="preserve"> e occupa saldamente la quarta posizione nei risultati generali, davanti a paesi come Spagna</w:t>
      </w:r>
      <w:r w:rsidR="005473AB">
        <w:t xml:space="preserve"> </w:t>
      </w:r>
      <w:r w:rsidR="00B37E63">
        <w:t xml:space="preserve">o la Cina, che rappresenta il grande assente dal ranking. </w:t>
      </w:r>
    </w:p>
    <w:p w14:paraId="35084F18" w14:textId="77777777" w:rsidR="00A06596" w:rsidRDefault="00A06596" w:rsidP="00075241"/>
    <w:p w14:paraId="68CEC81C" w14:textId="541D3BD9" w:rsidR="00C76FBA" w:rsidRDefault="00C76FBA" w:rsidP="00075241">
      <w:pPr>
        <w:rPr>
          <w:rFonts w:asciiTheme="majorHAnsi" w:eastAsiaTheme="majorEastAsia" w:hAnsiTheme="majorHAnsi" w:cstheme="majorBidi"/>
          <w:color w:val="2F5496" w:themeColor="accent1" w:themeShade="BF"/>
          <w:sz w:val="26"/>
          <w:szCs w:val="26"/>
        </w:rPr>
      </w:pPr>
      <w:r>
        <w:br w:type="page"/>
      </w:r>
    </w:p>
    <w:p w14:paraId="3F150CB3" w14:textId="3D4DB2BD" w:rsidR="00706969" w:rsidRPr="00015C88" w:rsidRDefault="00706969" w:rsidP="00075241">
      <w:pPr>
        <w:pStyle w:val="Titolo2"/>
      </w:pPr>
      <w:bookmarkStart w:id="12" w:name="_Toc157430702"/>
      <w:r>
        <w:lastRenderedPageBreak/>
        <w:t>4</w:t>
      </w:r>
      <w:r w:rsidRPr="00015C88">
        <w:t xml:space="preserve">. </w:t>
      </w:r>
      <w:r>
        <w:t>Revisione delle catene di fornitura</w:t>
      </w:r>
      <w:bookmarkEnd w:id="12"/>
    </w:p>
    <w:p w14:paraId="41295EBA" w14:textId="77777777" w:rsidR="00271A21" w:rsidRDefault="00271A21" w:rsidP="00075241"/>
    <w:p w14:paraId="4534F5CC" w14:textId="77777777" w:rsidR="003C5E74" w:rsidRDefault="003C5E74" w:rsidP="00075241"/>
    <w:p w14:paraId="74EA0781" w14:textId="36326BA7" w:rsidR="00C15871" w:rsidRDefault="00826869" w:rsidP="00A170E4">
      <w:pPr>
        <w:jc w:val="both"/>
      </w:pPr>
      <w:r>
        <w:t xml:space="preserve">La ricerca condotta lo scorso anno </w:t>
      </w:r>
      <w:r w:rsidR="000027FB">
        <w:t>era stata strutturata</w:t>
      </w:r>
      <w:r>
        <w:t xml:space="preserve"> </w:t>
      </w:r>
      <w:r w:rsidR="002E4D36">
        <w:t>partendo</w:t>
      </w:r>
      <w:r>
        <w:t xml:space="preserve"> dalla considerazione che l</w:t>
      </w:r>
      <w:r w:rsidR="00A11F7D" w:rsidRPr="00A11F7D">
        <w:t xml:space="preserve">a pandemia e la difficile situazione a livello politico internazionale </w:t>
      </w:r>
      <w:r w:rsidR="004A5F9C">
        <w:t>hanno</w:t>
      </w:r>
      <w:r w:rsidR="004A5F9C" w:rsidRPr="00A11F7D">
        <w:t xml:space="preserve"> </w:t>
      </w:r>
      <w:r w:rsidR="00A11F7D" w:rsidRPr="00A11F7D">
        <w:t>accelerato alcune dinamiche di cambiamento delle Catene Globali del Valor</w:t>
      </w:r>
      <w:r w:rsidR="00BB5570">
        <w:t xml:space="preserve">e (CGV) </w:t>
      </w:r>
      <w:r w:rsidR="00271A21">
        <w:t xml:space="preserve">e delle </w:t>
      </w:r>
      <w:r w:rsidR="0017580C">
        <w:t>catene di fornitura</w:t>
      </w:r>
      <w:r w:rsidR="00A11F7D" w:rsidRPr="00A11F7D">
        <w:t>.</w:t>
      </w:r>
      <w:r w:rsidR="0017580C">
        <w:t xml:space="preserve"> </w:t>
      </w:r>
      <w:r w:rsidR="00F54244">
        <w:t>Fra queste la tendenza ad un aumento del livello di regionalizzazione delle CGV stesse</w:t>
      </w:r>
      <w:r w:rsidR="00AC2CCE">
        <w:t xml:space="preserve">. </w:t>
      </w:r>
      <w:r w:rsidR="008363F9">
        <w:t>Da</w:t>
      </w:r>
      <w:r w:rsidR="00BB5570">
        <w:t xml:space="preserve">l </w:t>
      </w:r>
      <w:r w:rsidR="008363F9">
        <w:t>punto di vista</w:t>
      </w:r>
      <w:r w:rsidR="00BB5570">
        <w:t xml:space="preserve"> </w:t>
      </w:r>
      <w:r w:rsidR="008363F9">
        <w:t xml:space="preserve">delle imprese questo ha significato </w:t>
      </w:r>
      <w:r w:rsidR="00EF4F17">
        <w:t xml:space="preserve">riorientare le politiche di fornitura </w:t>
      </w:r>
      <w:r w:rsidR="00EF4F17" w:rsidRPr="001C3299">
        <w:t>favorend</w:t>
      </w:r>
      <w:r w:rsidR="00BB5570" w:rsidRPr="001C3299">
        <w:t xml:space="preserve">o Paesi e fornitori più prossimi </w:t>
      </w:r>
      <w:r w:rsidR="00EF4F17" w:rsidRPr="001C3299">
        <w:t>da</w:t>
      </w:r>
      <w:r w:rsidR="00EF4F17">
        <w:t xml:space="preserve"> un punto di vista geografico</w:t>
      </w:r>
      <w:r w:rsidR="008F57B0">
        <w:t xml:space="preserve">. </w:t>
      </w:r>
    </w:p>
    <w:p w14:paraId="46D7F88E" w14:textId="77777777" w:rsidR="00641DF4" w:rsidRDefault="00641DF4" w:rsidP="00A170E4">
      <w:pPr>
        <w:jc w:val="both"/>
      </w:pPr>
    </w:p>
    <w:p w14:paraId="28293993" w14:textId="0AF294D9" w:rsidR="002565F1" w:rsidRDefault="002565F1" w:rsidP="00202CEE">
      <w:pPr>
        <w:jc w:val="both"/>
      </w:pPr>
      <w:r>
        <w:t>Quello che emergeva dalla rilevazione del 2022 era che nei due anni precedenti</w:t>
      </w:r>
      <w:r w:rsidRPr="002565F1">
        <w:t xml:space="preserve"> più di un’impresa su tre (34,7%) </w:t>
      </w:r>
      <w:r>
        <w:t>aveva</w:t>
      </w:r>
      <w:r w:rsidRPr="002565F1">
        <w:t xml:space="preserve"> cambiato almeno un fornitore strategico.</w:t>
      </w:r>
      <w:r w:rsidR="00202CEE">
        <w:t xml:space="preserve"> I nuovi fornitori strategici, si collocav</w:t>
      </w:r>
      <w:r w:rsidR="0099155A">
        <w:t>an</w:t>
      </w:r>
      <w:r w:rsidR="00202CEE">
        <w:t xml:space="preserve">o più vicini all’impresa italiana, nel 58,1% sono più vicini, in Italia, il 16,4% sono più vicini ma fuori dall’Italia. </w:t>
      </w:r>
      <w:r w:rsidR="0099155A">
        <w:t xml:space="preserve"> </w:t>
      </w:r>
      <w:r w:rsidR="00202CEE">
        <w:t>Nell’11,7% dei casi sono più lontani in Europa e nell’9,4% sono più lontani, fuori dall’Europa.</w:t>
      </w:r>
      <w:r w:rsidR="00F94A0B">
        <w:t xml:space="preserve"> </w:t>
      </w:r>
      <w:r w:rsidR="00F94A0B" w:rsidRPr="00F94A0B">
        <w:t xml:space="preserve">Nel 44,1% dei casi la scelta di cambiare il fornitore strategico </w:t>
      </w:r>
      <w:r w:rsidR="00F94A0B">
        <w:t>era</w:t>
      </w:r>
      <w:r w:rsidR="00F94A0B" w:rsidRPr="00F94A0B">
        <w:t xml:space="preserve"> dovuta a una scelta riorganizzativa strettamente aziendale. In un caso su quattro (24,1%) </w:t>
      </w:r>
      <w:r w:rsidR="00F94A0B">
        <w:t>era</w:t>
      </w:r>
      <w:r w:rsidR="00F94A0B" w:rsidRPr="00F94A0B">
        <w:t xml:space="preserve"> invece legat</w:t>
      </w:r>
      <w:r w:rsidR="00FD3E22">
        <w:t>a</w:t>
      </w:r>
      <w:r w:rsidR="00F94A0B" w:rsidRPr="00F94A0B">
        <w:t xml:space="preserve"> alle condizioni che si sono create durante la pandemia. Nel 14,7% </w:t>
      </w:r>
      <w:r w:rsidR="00FD3E22">
        <w:t>erano</w:t>
      </w:r>
      <w:r w:rsidR="00F94A0B" w:rsidRPr="00F94A0B">
        <w:t xml:space="preserve"> le condizioni </w:t>
      </w:r>
      <w:r w:rsidR="00FD3E22">
        <w:t>legate al</w:t>
      </w:r>
      <w:r w:rsidR="00F94A0B" w:rsidRPr="00F94A0B">
        <w:t xml:space="preserve"> conflitto </w:t>
      </w:r>
      <w:r w:rsidR="00BB5570">
        <w:t>r</w:t>
      </w:r>
      <w:r w:rsidR="00F94A0B" w:rsidRPr="00F94A0B">
        <w:t xml:space="preserve">usso-ucraino a motivare la scelta. Nel 15,3% </w:t>
      </w:r>
      <w:r w:rsidR="00FD3E22">
        <w:t>la scelta era riconducibile ad</w:t>
      </w:r>
      <w:r w:rsidR="00F94A0B" w:rsidRPr="00F94A0B">
        <w:t xml:space="preserve"> altre</w:t>
      </w:r>
      <w:r w:rsidR="00BB5570">
        <w:t xml:space="preserve"> </w:t>
      </w:r>
      <w:r w:rsidR="00F94A0B" w:rsidRPr="00F94A0B">
        <w:t>motivazioni.</w:t>
      </w:r>
    </w:p>
    <w:p w14:paraId="41C1B7B8" w14:textId="77777777" w:rsidR="002B7195" w:rsidRDefault="002B7195" w:rsidP="00202CEE">
      <w:pPr>
        <w:jc w:val="both"/>
      </w:pPr>
    </w:p>
    <w:p w14:paraId="0B825E84" w14:textId="242917F0" w:rsidR="00C15871" w:rsidRDefault="002B7195" w:rsidP="00A170E4">
      <w:pPr>
        <w:jc w:val="both"/>
      </w:pPr>
      <w:r>
        <w:t xml:space="preserve">A distanza di </w:t>
      </w:r>
      <w:r w:rsidR="003032EA">
        <w:t>un anno</w:t>
      </w:r>
      <w:r>
        <w:t xml:space="preserve"> si è ritenuto opportuno ripetere due delle domande poste lo scorso anno per analizzare se la tendenza alla rifocalizzazione delle reti di fornitura sia ancora in atto o se l’allontanarsi della pandemia </w:t>
      </w:r>
      <w:r w:rsidR="003032EA">
        <w:t xml:space="preserve">abbia ridotto la necessità di rivedere le politiche di fornitura. </w:t>
      </w:r>
    </w:p>
    <w:p w14:paraId="04CEDE02" w14:textId="77777777" w:rsidR="00AC1A5C" w:rsidRDefault="00AC1A5C" w:rsidP="00A170E4">
      <w:pPr>
        <w:jc w:val="both"/>
      </w:pPr>
    </w:p>
    <w:p w14:paraId="7CC72597" w14:textId="629DED65" w:rsidR="00AC1A5C" w:rsidRDefault="00AC1A5C" w:rsidP="00A170E4">
      <w:pPr>
        <w:jc w:val="both"/>
      </w:pPr>
      <w:r>
        <w:t>Nel 2023 la percentuale di imprese che ha cambiato almeno un fornitore strate</w:t>
      </w:r>
      <w:r w:rsidR="00456BA5">
        <w:t xml:space="preserve">gico </w:t>
      </w:r>
      <w:r w:rsidR="00E95DB8">
        <w:t xml:space="preserve">si attesta al </w:t>
      </w:r>
      <w:r w:rsidR="00E95DB8" w:rsidRPr="001C3299">
        <w:t>28,2%</w:t>
      </w:r>
      <w:r w:rsidR="007D7F3F" w:rsidRPr="001C3299">
        <w:t>,</w:t>
      </w:r>
      <w:r w:rsidR="00BB5570" w:rsidRPr="001C3299">
        <w:t xml:space="preserve"> una quota ancora rilevante ma di </w:t>
      </w:r>
      <w:r w:rsidR="007D7F3F" w:rsidRPr="001C3299">
        <w:t>sei punti percentuali inferiore rispetto a quell</w:t>
      </w:r>
      <w:r w:rsidR="00BB5570" w:rsidRPr="001C3299">
        <w:t>a d</w:t>
      </w:r>
      <w:r w:rsidR="007D7F3F" w:rsidRPr="001C3299">
        <w:t>ell’anno precedente.</w:t>
      </w:r>
      <w:r w:rsidR="007D7F3F">
        <w:t xml:space="preserve"> </w:t>
      </w:r>
    </w:p>
    <w:p w14:paraId="577AB794" w14:textId="77777777" w:rsidR="00A001B0" w:rsidRDefault="00A001B0" w:rsidP="00A170E4">
      <w:pPr>
        <w:jc w:val="both"/>
      </w:pPr>
    </w:p>
    <w:p w14:paraId="7DF4A42A" w14:textId="77777777" w:rsidR="00002417" w:rsidRDefault="00002417" w:rsidP="00A170E4">
      <w:pPr>
        <w:jc w:val="both"/>
      </w:pPr>
    </w:p>
    <w:p w14:paraId="7C780770" w14:textId="3AE152E7" w:rsidR="00A001B0" w:rsidRPr="00411983" w:rsidRDefault="00E0512C" w:rsidP="00A170E4">
      <w:pPr>
        <w:jc w:val="both"/>
        <w:rPr>
          <w:b/>
          <w:bCs/>
        </w:rPr>
      </w:pPr>
      <w:r>
        <w:rPr>
          <w:b/>
          <w:bCs/>
        </w:rPr>
        <w:t>Fig</w:t>
      </w:r>
      <w:r w:rsidR="00411983" w:rsidRPr="00411983">
        <w:rPr>
          <w:b/>
          <w:bCs/>
        </w:rPr>
        <w:t>. 4.1 - Pensi ai fornitori strategici. Negli ultimi due anni ne avete cambiato almeno uno?</w:t>
      </w:r>
      <w:r w:rsidR="00BC4F90">
        <w:rPr>
          <w:b/>
          <w:bCs/>
        </w:rPr>
        <w:t xml:space="preserve"> (val. %)</w:t>
      </w:r>
    </w:p>
    <w:p w14:paraId="24B1AA91" w14:textId="56A4C425" w:rsidR="003032EA" w:rsidRDefault="00AC1A5C" w:rsidP="00A170E4">
      <w:pPr>
        <w:jc w:val="both"/>
      </w:pPr>
      <w:r>
        <w:rPr>
          <w:noProof/>
        </w:rPr>
        <w:drawing>
          <wp:inline distT="0" distB="0" distL="0" distR="0" wp14:anchorId="0A05A054" wp14:editId="59CDA74E">
            <wp:extent cx="6109970" cy="2257425"/>
            <wp:effectExtent l="0" t="0" r="5080" b="0"/>
            <wp:docPr id="424537278" name="Grafico 1">
              <a:extLst xmlns:a="http://schemas.openxmlformats.org/drawingml/2006/main">
                <a:ext uri="{FF2B5EF4-FFF2-40B4-BE49-F238E27FC236}">
                  <a16:creationId xmlns:a16="http://schemas.microsoft.com/office/drawing/2014/main" id="{C1624BDA-2718-8195-89C6-0491A5AE1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48A774" w14:textId="77777777" w:rsidR="00411983" w:rsidRPr="00FE0BDD" w:rsidRDefault="00411983" w:rsidP="00411983">
      <w:pPr>
        <w:rPr>
          <w:sz w:val="18"/>
          <w:szCs w:val="18"/>
        </w:rPr>
      </w:pPr>
      <w:r w:rsidRPr="00FE0BDD">
        <w:rPr>
          <w:sz w:val="18"/>
          <w:szCs w:val="18"/>
        </w:rPr>
        <w:t>Fonte: Fondazione Nord Est 2023 (</w:t>
      </w:r>
      <w:r>
        <w:rPr>
          <w:sz w:val="18"/>
          <w:szCs w:val="18"/>
        </w:rPr>
        <w:t>649</w:t>
      </w:r>
      <w:r w:rsidRPr="00FE0BDD">
        <w:rPr>
          <w:sz w:val="18"/>
          <w:szCs w:val="18"/>
        </w:rPr>
        <w:t xml:space="preserve"> casi)</w:t>
      </w:r>
    </w:p>
    <w:p w14:paraId="669ACF4A" w14:textId="77777777" w:rsidR="003032EA" w:rsidRDefault="003032EA" w:rsidP="00A170E4">
      <w:pPr>
        <w:jc w:val="both"/>
      </w:pPr>
    </w:p>
    <w:p w14:paraId="6E74DCDB" w14:textId="32580DA8" w:rsidR="00002417" w:rsidRDefault="007D2432" w:rsidP="00A170E4">
      <w:pPr>
        <w:jc w:val="both"/>
      </w:pPr>
      <w:r>
        <w:t xml:space="preserve">Continua </w:t>
      </w:r>
      <w:r w:rsidR="00B63B46">
        <w:t>la tendenza a r</w:t>
      </w:r>
      <w:r w:rsidR="00382C00">
        <w:t xml:space="preserve">endere più prossime le reti di fornitura. </w:t>
      </w:r>
      <w:r w:rsidR="009209EE">
        <w:t xml:space="preserve">Tra le aziende che hanno dichiarato di aver </w:t>
      </w:r>
      <w:r w:rsidR="005F1C04">
        <w:t>cambiato almeno un fornitore strategico negli ultimi d</w:t>
      </w:r>
      <w:r w:rsidR="00BB5570">
        <w:t xml:space="preserve">ue anni, </w:t>
      </w:r>
      <w:r w:rsidR="005F1C04">
        <w:t xml:space="preserve">il </w:t>
      </w:r>
      <w:r w:rsidR="00814C92">
        <w:t xml:space="preserve">53,3% ha scelto di avvicinarlo </w:t>
      </w:r>
      <w:r w:rsidR="005E6F2C">
        <w:t xml:space="preserve">in Italia. </w:t>
      </w:r>
      <w:r w:rsidR="00714853">
        <w:t>Una percentuale molto simil</w:t>
      </w:r>
      <w:r w:rsidR="00BB5570">
        <w:t>e</w:t>
      </w:r>
      <w:r w:rsidR="00714853">
        <w:t xml:space="preserve"> a quella rilevata lo scorso anno (</w:t>
      </w:r>
      <w:r w:rsidR="00421059">
        <w:t xml:space="preserve">58,1%). </w:t>
      </w:r>
      <w:r w:rsidR="00466EE2">
        <w:t xml:space="preserve">Il 10,3% ha invece scelto di riavvicinarli </w:t>
      </w:r>
      <w:r w:rsidR="00C07F21">
        <w:t xml:space="preserve">ma </w:t>
      </w:r>
      <w:r w:rsidR="000E6B47">
        <w:t xml:space="preserve">fuori dall’Italia (erano il 16,4%). Il 15,7% </w:t>
      </w:r>
      <w:r w:rsidR="00F40E07">
        <w:t>ha optato per fornitori più lontani sul territorio europeo (</w:t>
      </w:r>
      <w:r w:rsidR="009058B9">
        <w:t xml:space="preserve">11,7% nel 2022) e il 20,8% </w:t>
      </w:r>
      <w:r w:rsidR="002916E4">
        <w:t xml:space="preserve">ha avviato collaborazioni con fornitori strategici </w:t>
      </w:r>
      <w:r w:rsidR="00AF3FD1">
        <w:t>più lontani e fuori dall’Europa (</w:t>
      </w:r>
      <w:r w:rsidR="00267D79">
        <w:t xml:space="preserve">il doppio rispetto a quanto rilevato lo scorso anno). </w:t>
      </w:r>
    </w:p>
    <w:p w14:paraId="27374D7A" w14:textId="77777777" w:rsidR="003C5E74" w:rsidRDefault="003C5E74" w:rsidP="00A170E4">
      <w:pPr>
        <w:jc w:val="both"/>
      </w:pPr>
    </w:p>
    <w:p w14:paraId="219994C6" w14:textId="77777777" w:rsidR="003C5E74" w:rsidRDefault="003C5E74" w:rsidP="00A170E4">
      <w:pPr>
        <w:jc w:val="both"/>
      </w:pPr>
    </w:p>
    <w:p w14:paraId="344F5ABA" w14:textId="7C68D416" w:rsidR="00C15871" w:rsidRPr="00BC4F90" w:rsidRDefault="00E0512C" w:rsidP="00A170E4">
      <w:pPr>
        <w:jc w:val="both"/>
        <w:rPr>
          <w:b/>
          <w:bCs/>
        </w:rPr>
      </w:pPr>
      <w:r>
        <w:rPr>
          <w:b/>
          <w:bCs/>
        </w:rPr>
        <w:t>Fig</w:t>
      </w:r>
      <w:r w:rsidR="00BC4F90">
        <w:rPr>
          <w:b/>
          <w:bCs/>
        </w:rPr>
        <w:t xml:space="preserve">. 4.2 - </w:t>
      </w:r>
      <w:r w:rsidR="00BC4F90" w:rsidRPr="00BC4F90">
        <w:rPr>
          <w:b/>
          <w:bCs/>
        </w:rPr>
        <w:t>Rispetto ai precedenti, questi nuovi fornitori sono</w:t>
      </w:r>
      <w:r w:rsidR="00BC4F90">
        <w:rPr>
          <w:b/>
          <w:bCs/>
        </w:rPr>
        <w:t>…</w:t>
      </w:r>
    </w:p>
    <w:p w14:paraId="75BA31E9" w14:textId="07FF3CAF" w:rsidR="00E84BB6" w:rsidRDefault="0073307C" w:rsidP="00075241">
      <w:pPr>
        <w:rPr>
          <w:rFonts w:asciiTheme="majorHAnsi" w:eastAsiaTheme="majorEastAsia" w:hAnsiTheme="majorHAnsi" w:cstheme="majorBidi"/>
          <w:color w:val="2F5496" w:themeColor="accent1" w:themeShade="BF"/>
          <w:sz w:val="26"/>
          <w:szCs w:val="26"/>
        </w:rPr>
      </w:pPr>
      <w:r>
        <w:rPr>
          <w:noProof/>
        </w:rPr>
        <w:drawing>
          <wp:inline distT="0" distB="0" distL="0" distR="0" wp14:anchorId="65C7B035" wp14:editId="32BB7E5F">
            <wp:extent cx="6238875" cy="1990725"/>
            <wp:effectExtent l="0" t="0" r="0" b="0"/>
            <wp:docPr id="363654096" name="Grafico 1">
              <a:extLst xmlns:a="http://schemas.openxmlformats.org/drawingml/2006/main">
                <a:ext uri="{FF2B5EF4-FFF2-40B4-BE49-F238E27FC236}">
                  <a16:creationId xmlns:a16="http://schemas.microsoft.com/office/drawing/2014/main" id="{EA1C3718-A65D-3649-7DCD-C09137CDF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34F1DF" w14:textId="77777777" w:rsidR="0073307C" w:rsidRPr="00FE0BDD" w:rsidRDefault="0073307C" w:rsidP="0073307C">
      <w:pPr>
        <w:rPr>
          <w:sz w:val="18"/>
          <w:szCs w:val="18"/>
        </w:rPr>
      </w:pPr>
      <w:r w:rsidRPr="00FE0BDD">
        <w:rPr>
          <w:sz w:val="18"/>
          <w:szCs w:val="18"/>
        </w:rPr>
        <w:t>Fonte: Fondazione Nord Est 2023 (</w:t>
      </w:r>
      <w:r>
        <w:rPr>
          <w:sz w:val="18"/>
          <w:szCs w:val="18"/>
        </w:rPr>
        <w:t>649</w:t>
      </w:r>
      <w:r w:rsidRPr="00FE0BDD">
        <w:rPr>
          <w:sz w:val="18"/>
          <w:szCs w:val="18"/>
        </w:rPr>
        <w:t xml:space="preserve"> casi)</w:t>
      </w:r>
    </w:p>
    <w:p w14:paraId="5B187B10" w14:textId="77777777" w:rsidR="00081F8E" w:rsidRDefault="00081F8E">
      <w:pPr>
        <w:spacing w:after="160"/>
      </w:pPr>
    </w:p>
    <w:p w14:paraId="1FF1BB00" w14:textId="4FF4105C" w:rsidR="00822D82" w:rsidRDefault="002D527D" w:rsidP="00B110EB">
      <w:pPr>
        <w:spacing w:after="160"/>
        <w:jc w:val="both"/>
      </w:pPr>
      <w:r>
        <w:t xml:space="preserve">La </w:t>
      </w:r>
      <w:r w:rsidRPr="007646ED">
        <w:rPr>
          <w:b/>
          <w:bCs/>
        </w:rPr>
        <w:t>ridefinizione delle catene di fornitura sembra ancora in atto</w:t>
      </w:r>
      <w:r w:rsidR="00B110EB">
        <w:t xml:space="preserve">. E la </w:t>
      </w:r>
      <w:r w:rsidR="00B110EB" w:rsidRPr="007646ED">
        <w:rPr>
          <w:b/>
          <w:bCs/>
        </w:rPr>
        <w:t>direzione</w:t>
      </w:r>
      <w:r w:rsidR="00B110EB">
        <w:t xml:space="preserve"> (quella del riavvicinamento) appare </w:t>
      </w:r>
      <w:r w:rsidR="00B110EB" w:rsidRPr="007646ED">
        <w:rPr>
          <w:b/>
          <w:bCs/>
        </w:rPr>
        <w:t>ancora valida</w:t>
      </w:r>
      <w:r w:rsidR="00B110EB">
        <w:t xml:space="preserve">, anche se si segnala una </w:t>
      </w:r>
      <w:r w:rsidR="00B110EB" w:rsidRPr="007646ED">
        <w:rPr>
          <w:b/>
          <w:bCs/>
        </w:rPr>
        <w:t>riduzione dell’intensità</w:t>
      </w:r>
      <w:r w:rsidR="00B110EB">
        <w:t xml:space="preserve"> del fenomeno e una riduzione della preferenza verso il riavvicinamento, che rimane, comunque, la scelta di gran lunga più gettonata. </w:t>
      </w:r>
    </w:p>
    <w:p w14:paraId="122821CC" w14:textId="77777777" w:rsidR="00081F8E" w:rsidRDefault="00081F8E">
      <w:pPr>
        <w:spacing w:after="160"/>
      </w:pPr>
    </w:p>
    <w:p w14:paraId="7DB8FB27" w14:textId="5535F5EB" w:rsidR="00641DF4" w:rsidRDefault="00641DF4">
      <w:pPr>
        <w:spacing w:after="160"/>
        <w:rPr>
          <w:rFonts w:asciiTheme="majorHAnsi" w:eastAsiaTheme="majorEastAsia" w:hAnsiTheme="majorHAnsi" w:cstheme="majorBidi"/>
          <w:color w:val="2F5496" w:themeColor="accent1" w:themeShade="BF"/>
          <w:sz w:val="26"/>
          <w:szCs w:val="26"/>
        </w:rPr>
      </w:pPr>
      <w:r>
        <w:br w:type="page"/>
      </w:r>
    </w:p>
    <w:p w14:paraId="51F7C635" w14:textId="4DE5A35D" w:rsidR="00E84BB6" w:rsidRPr="00015C88" w:rsidRDefault="00E84BB6" w:rsidP="00075241">
      <w:pPr>
        <w:pStyle w:val="Titolo2"/>
      </w:pPr>
      <w:bookmarkStart w:id="13" w:name="_Toc157430703"/>
      <w:r>
        <w:lastRenderedPageBreak/>
        <w:t>5</w:t>
      </w:r>
      <w:r w:rsidRPr="00015C88">
        <w:t xml:space="preserve">. </w:t>
      </w:r>
      <w:r w:rsidR="00F52F26">
        <w:t>Sostenibilità</w:t>
      </w:r>
      <w:r w:rsidR="00624280">
        <w:t xml:space="preserve"> ambientale e internazionalizzazione</w:t>
      </w:r>
      <w:bookmarkEnd w:id="13"/>
    </w:p>
    <w:p w14:paraId="06EFE964" w14:textId="77777777" w:rsidR="00FD38A0" w:rsidRDefault="00FD38A0" w:rsidP="003754E1"/>
    <w:p w14:paraId="74967163" w14:textId="77777777" w:rsidR="003C5E74" w:rsidRDefault="003C5E74" w:rsidP="003754E1"/>
    <w:p w14:paraId="6BB3F040" w14:textId="6C6072B6" w:rsidR="0025121C" w:rsidRDefault="002264BD" w:rsidP="003754E1">
      <w:pPr>
        <w:jc w:val="both"/>
      </w:pPr>
      <w:r>
        <w:t>Com</w:t>
      </w:r>
      <w:r w:rsidR="002B7C28">
        <w:t xml:space="preserve">e è valutata l’importanza della sostenibilità da parte delle imprese di </w:t>
      </w:r>
      <w:r w:rsidR="005B3D9B">
        <w:t>Treviso, Padova, Venezia e Rovigo</w:t>
      </w:r>
      <w:r w:rsidR="00542E17">
        <w:t xml:space="preserve"> in relazione alla propria espansione internazionale</w:t>
      </w:r>
      <w:r w:rsidR="002B7C28">
        <w:t>?</w:t>
      </w:r>
      <w:r w:rsidR="00054CA6">
        <w:t xml:space="preserve"> Qual è </w:t>
      </w:r>
      <w:r w:rsidR="00A7198D">
        <w:t>i</w:t>
      </w:r>
      <w:r w:rsidR="009807EC">
        <w:t>l</w:t>
      </w:r>
      <w:r w:rsidR="00A7198D">
        <w:t xml:space="preserve"> livello di </w:t>
      </w:r>
      <w:r w:rsidR="00054CA6">
        <w:t xml:space="preserve">interesse </w:t>
      </w:r>
      <w:r w:rsidR="009807EC">
        <w:t>che i clienti delle imprese intervistate pongono a questo tema</w:t>
      </w:r>
      <w:r w:rsidR="00054CA6">
        <w:t xml:space="preserve">? </w:t>
      </w:r>
      <w:r w:rsidR="00A7198D">
        <w:t>La</w:t>
      </w:r>
      <w:r w:rsidR="001D07A6">
        <w:t xml:space="preserve"> scelta di perseguire politiche di</w:t>
      </w:r>
      <w:r w:rsidR="00A7198D">
        <w:t xml:space="preserve"> sostenibilità</w:t>
      </w:r>
      <w:r w:rsidR="00054CA6">
        <w:t xml:space="preserve"> modifica la facilità di accesso a nuovi mercati</w:t>
      </w:r>
      <w:r w:rsidR="001C5C34">
        <w:t>?</w:t>
      </w:r>
      <w:r w:rsidR="00054CA6">
        <w:t xml:space="preserve"> </w:t>
      </w:r>
      <w:r w:rsidR="001C5C34">
        <w:t>E, in termini più generali,</w:t>
      </w:r>
      <w:r w:rsidR="00054CA6">
        <w:t xml:space="preserve"> </w:t>
      </w:r>
      <w:r w:rsidR="0048636B">
        <w:t xml:space="preserve">come </w:t>
      </w:r>
      <w:r w:rsidR="001D07A6">
        <w:t>influenza</w:t>
      </w:r>
      <w:r w:rsidR="0048636B">
        <w:t xml:space="preserve"> le strategie di internazionalizzazione?</w:t>
      </w:r>
    </w:p>
    <w:p w14:paraId="4E86B5FF" w14:textId="484B2410" w:rsidR="00625B4B" w:rsidRDefault="004E270E" w:rsidP="003754E1">
      <w:pPr>
        <w:jc w:val="both"/>
      </w:pPr>
      <w:r>
        <w:t xml:space="preserve">Per rispondere a tutte queste domande è stata progettata la parte </w:t>
      </w:r>
      <w:r w:rsidR="00F10FBD">
        <w:t>centrale</w:t>
      </w:r>
      <w:r>
        <w:t xml:space="preserve"> del questionario</w:t>
      </w:r>
      <w:r w:rsidR="00625B4B">
        <w:t xml:space="preserve"> i cui risultati vengon</w:t>
      </w:r>
      <w:r w:rsidR="001C5C34">
        <w:t>o</w:t>
      </w:r>
      <w:r w:rsidR="00625B4B">
        <w:t xml:space="preserve"> esposti in questo ultimo paragrafo</w:t>
      </w:r>
      <w:r>
        <w:t xml:space="preserve">. </w:t>
      </w:r>
    </w:p>
    <w:p w14:paraId="41E38FD5" w14:textId="77777777" w:rsidR="001C5C34" w:rsidRDefault="001C5C34" w:rsidP="003754E1">
      <w:pPr>
        <w:jc w:val="both"/>
      </w:pPr>
    </w:p>
    <w:p w14:paraId="2A142DAB" w14:textId="57FB0161" w:rsidR="00475F6B" w:rsidRDefault="005271D5" w:rsidP="003754E1">
      <w:pPr>
        <w:jc w:val="both"/>
      </w:pPr>
      <w:r>
        <w:t xml:space="preserve">Esaminando </w:t>
      </w:r>
      <w:r w:rsidR="00DA70A6">
        <w:t xml:space="preserve">le risposte fornite </w:t>
      </w:r>
      <w:r w:rsidR="00C16B5F">
        <w:t>dalle imprese è possibile</w:t>
      </w:r>
      <w:r w:rsidR="00F061FD">
        <w:t xml:space="preserve"> far</w:t>
      </w:r>
      <w:r w:rsidR="00C16B5F">
        <w:t xml:space="preserve">si </w:t>
      </w:r>
      <w:r w:rsidR="00F061FD">
        <w:t>un</w:t>
      </w:r>
      <w:r w:rsidR="00C16B5F">
        <w:t xml:space="preserve">a prima </w:t>
      </w:r>
      <w:r w:rsidR="00F061FD">
        <w:t>idea della r</w:t>
      </w:r>
      <w:r w:rsidR="000C3B36">
        <w:t xml:space="preserve">ilevanza attribuita alla tematica da parte delle imprese. </w:t>
      </w:r>
      <w:r w:rsidR="00B1024F">
        <w:t xml:space="preserve">Il 59,3% </w:t>
      </w:r>
      <w:r w:rsidR="00151AE9">
        <w:t>ritiene la sostenibilità importante in relazione all’espansione internazionale</w:t>
      </w:r>
      <w:r w:rsidR="00762877">
        <w:t>, i</w:t>
      </w:r>
      <w:r w:rsidR="00B1024F">
        <w:t>l 23,7% molto importante</w:t>
      </w:r>
      <w:r w:rsidR="00762877">
        <w:t xml:space="preserve">, </w:t>
      </w:r>
      <w:r w:rsidR="00762877" w:rsidRPr="00367354">
        <w:t>s</w:t>
      </w:r>
      <w:r w:rsidR="00B04D94" w:rsidRPr="00367354">
        <w:t>ol</w:t>
      </w:r>
      <w:r w:rsidR="00762877" w:rsidRPr="00367354">
        <w:t>amente</w:t>
      </w:r>
      <w:r w:rsidR="00B04D94" w:rsidRPr="00367354">
        <w:t xml:space="preserve"> il </w:t>
      </w:r>
      <w:r w:rsidR="007E73B4" w:rsidRPr="00367354">
        <w:t>17</w:t>
      </w:r>
      <w:r w:rsidR="0091511A" w:rsidRPr="00367354">
        <w:t>,2</w:t>
      </w:r>
      <w:r w:rsidR="007E73B4" w:rsidRPr="00367354">
        <w:t>% delle imprese</w:t>
      </w:r>
      <w:r w:rsidR="007E73B4">
        <w:t xml:space="preserve"> ritiene la sostenibilità </w:t>
      </w:r>
      <w:r w:rsidR="003A2A60">
        <w:t xml:space="preserve">poco o per nulla </w:t>
      </w:r>
      <w:r w:rsidR="00762877">
        <w:t>i</w:t>
      </w:r>
      <w:r w:rsidR="003A2A60">
        <w:t>mportante</w:t>
      </w:r>
      <w:r w:rsidR="00762877">
        <w:t>.</w:t>
      </w:r>
    </w:p>
    <w:p w14:paraId="04CBD8AE" w14:textId="77777777" w:rsidR="00441CB1" w:rsidRDefault="00441CB1" w:rsidP="003754E1"/>
    <w:p w14:paraId="014BD144" w14:textId="77777777" w:rsidR="003C5E74" w:rsidRDefault="003C5E74" w:rsidP="003754E1"/>
    <w:p w14:paraId="532A85C1" w14:textId="7F833ADC" w:rsidR="008A3857" w:rsidRDefault="001F08D2" w:rsidP="003754E1">
      <w:pPr>
        <w:jc w:val="both"/>
        <w:rPr>
          <w:b/>
          <w:bCs/>
        </w:rPr>
      </w:pPr>
      <w:r>
        <w:rPr>
          <w:b/>
          <w:bCs/>
        </w:rPr>
        <w:t>Fig</w:t>
      </w:r>
      <w:r w:rsidR="003710F8">
        <w:rPr>
          <w:b/>
          <w:bCs/>
        </w:rPr>
        <w:t>.</w:t>
      </w:r>
      <w:r w:rsidR="006D0577" w:rsidRPr="00E37C11">
        <w:rPr>
          <w:b/>
          <w:bCs/>
        </w:rPr>
        <w:t xml:space="preserve"> 5.1 </w:t>
      </w:r>
      <w:r w:rsidR="004C5FF8">
        <w:rPr>
          <w:b/>
          <w:bCs/>
        </w:rPr>
        <w:t xml:space="preserve">- </w:t>
      </w:r>
      <w:r w:rsidR="00E37C11" w:rsidRPr="00E37C11">
        <w:rPr>
          <w:b/>
          <w:bCs/>
        </w:rPr>
        <w:t>Come valuta l'importanza della sostenibilità per il successo dell'espansione internazionale dell'impresa?</w:t>
      </w:r>
      <w:r w:rsidR="000943F2">
        <w:rPr>
          <w:b/>
          <w:bCs/>
        </w:rPr>
        <w:t xml:space="preserve"> (val. % al netto delle non risposte)</w:t>
      </w:r>
    </w:p>
    <w:p w14:paraId="0922EAC0" w14:textId="7DBDC42A" w:rsidR="005D7B47" w:rsidRPr="00E73056" w:rsidRDefault="003520F5" w:rsidP="003754E1">
      <w:pPr>
        <w:jc w:val="both"/>
        <w:rPr>
          <w:b/>
          <w:bCs/>
        </w:rPr>
      </w:pPr>
      <w:r>
        <w:rPr>
          <w:noProof/>
        </w:rPr>
        <w:drawing>
          <wp:inline distT="0" distB="0" distL="0" distR="0" wp14:anchorId="741B769E" wp14:editId="47895DBC">
            <wp:extent cx="6120130" cy="4534535"/>
            <wp:effectExtent l="0" t="0" r="0" b="0"/>
            <wp:docPr id="974076744" name="Grafico 1">
              <a:extLst xmlns:a="http://schemas.openxmlformats.org/drawingml/2006/main">
                <a:ext uri="{FF2B5EF4-FFF2-40B4-BE49-F238E27FC236}">
                  <a16:creationId xmlns:a16="http://schemas.microsoft.com/office/drawing/2014/main" id="{21997A11-DAA3-D153-BBC3-AE378EF8D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294FD6" w14:textId="57CC35B7" w:rsidR="008A3857" w:rsidRPr="00D57325" w:rsidRDefault="00D61B26" w:rsidP="003754E1">
      <w:pPr>
        <w:rPr>
          <w:sz w:val="18"/>
          <w:szCs w:val="18"/>
        </w:rPr>
      </w:pPr>
      <w:r w:rsidRPr="00D57325">
        <w:rPr>
          <w:sz w:val="18"/>
          <w:szCs w:val="18"/>
        </w:rPr>
        <w:t>Fonte: Fondazione Nord Est (6</w:t>
      </w:r>
      <w:r w:rsidR="00D61DF2">
        <w:rPr>
          <w:sz w:val="18"/>
          <w:szCs w:val="18"/>
        </w:rPr>
        <w:t>49</w:t>
      </w:r>
      <w:r w:rsidRPr="00D57325">
        <w:rPr>
          <w:sz w:val="18"/>
          <w:szCs w:val="18"/>
        </w:rPr>
        <w:t xml:space="preserve"> casi)</w:t>
      </w:r>
    </w:p>
    <w:p w14:paraId="148E9525" w14:textId="77777777" w:rsidR="008C2EFA" w:rsidRDefault="008C2EFA" w:rsidP="003754E1">
      <w:pPr>
        <w:jc w:val="both"/>
      </w:pPr>
    </w:p>
    <w:p w14:paraId="521A26B7" w14:textId="6A480E0C" w:rsidR="00CC0F67" w:rsidRDefault="006718A6" w:rsidP="001E0831">
      <w:pPr>
        <w:jc w:val="both"/>
      </w:pPr>
      <w:r>
        <w:t>La quota maggioritaria delle imprese ritiene che la sostenibilità sia importante o molto importante per il successo della propria espansione internazionale, ma p</w:t>
      </w:r>
      <w:r w:rsidR="00C05E08">
        <w:t xml:space="preserve">er avere informazioni più precise è conveniente </w:t>
      </w:r>
      <w:r w:rsidR="00C05E08">
        <w:lastRenderedPageBreak/>
        <w:t>incrociare i dati per la classe di fatturato, che rispetto ai cluster precedentemente esaminati e al macrosettore sembra riportare delle informazioni aggiuntive con un maggior grado di dettaglio.</w:t>
      </w:r>
      <w:r w:rsidR="00F447C6">
        <w:t xml:space="preserve"> </w:t>
      </w:r>
    </w:p>
    <w:p w14:paraId="50737CD3" w14:textId="77777777" w:rsidR="00F447C6" w:rsidRDefault="00F447C6" w:rsidP="001E0831">
      <w:pPr>
        <w:jc w:val="both"/>
      </w:pPr>
    </w:p>
    <w:p w14:paraId="52F4646F" w14:textId="39A3F530" w:rsidR="001E0831" w:rsidRPr="003710F8" w:rsidRDefault="008D4ACF" w:rsidP="001E0831">
      <w:pPr>
        <w:jc w:val="both"/>
      </w:pPr>
      <w:r>
        <w:t>Dunque,</w:t>
      </w:r>
      <w:r w:rsidR="00697674">
        <w:t xml:space="preserve"> osservando la Figura 5.1b</w:t>
      </w:r>
      <w:r w:rsidR="005B0682">
        <w:t xml:space="preserve"> si nota come a</w:t>
      </w:r>
      <w:r w:rsidR="001E0831">
        <w:t xml:space="preserve">ll’aumentare delle dimensioni (misurate attraverso il volume dei ricavi) </w:t>
      </w:r>
      <w:r w:rsidR="006718A6">
        <w:t>la</w:t>
      </w:r>
      <w:r w:rsidR="001E0831">
        <w:t xml:space="preserve"> quota</w:t>
      </w:r>
      <w:r w:rsidR="006718A6">
        <w:t xml:space="preserve"> di imprese che ritengono importante la sostenibilità</w:t>
      </w:r>
      <w:r w:rsidR="001E0831">
        <w:t xml:space="preserve"> va aumentando.</w:t>
      </w:r>
      <w:r w:rsidR="006718A6">
        <w:t xml:space="preserve"> </w:t>
      </w:r>
      <w:r w:rsidR="00271C0F">
        <w:t>Quasi</w:t>
      </w:r>
      <w:r w:rsidR="006718A6">
        <w:t xml:space="preserve"> tre imprese su </w:t>
      </w:r>
      <w:r w:rsidR="006718A6" w:rsidRPr="001C3299">
        <w:t>quattr</w:t>
      </w:r>
      <w:r w:rsidR="0091511A" w:rsidRPr="001C3299">
        <w:t>o</w:t>
      </w:r>
      <w:r w:rsidR="00D2412B" w:rsidRPr="001C3299">
        <w:t xml:space="preserve"> </w:t>
      </w:r>
      <w:r w:rsidR="0091511A" w:rsidRPr="001C3299">
        <w:t>(7</w:t>
      </w:r>
      <w:r w:rsidR="00271C0F">
        <w:t>3</w:t>
      </w:r>
      <w:r w:rsidR="0091511A" w:rsidRPr="001C3299">
        <w:t>,</w:t>
      </w:r>
      <w:r w:rsidR="00271C0F">
        <w:t>4</w:t>
      </w:r>
      <w:r w:rsidR="0091511A" w:rsidRPr="001C3299">
        <w:t>%)</w:t>
      </w:r>
      <w:r w:rsidR="00D2412B">
        <w:t xml:space="preserve"> </w:t>
      </w:r>
      <w:r w:rsidR="006718A6">
        <w:t xml:space="preserve">tra quelle </w:t>
      </w:r>
      <w:r w:rsidR="001E0831">
        <w:t xml:space="preserve">con ricavi fino a due milioni di euro </w:t>
      </w:r>
      <w:r w:rsidR="006718A6">
        <w:t>ritengono</w:t>
      </w:r>
      <w:r w:rsidR="001E0831">
        <w:t xml:space="preserve"> che la sostenibilità sia importante o molto </w:t>
      </w:r>
      <w:r w:rsidR="001E0831" w:rsidRPr="001C3299">
        <w:t>important</w:t>
      </w:r>
      <w:r w:rsidR="0091511A" w:rsidRPr="001C3299">
        <w:t xml:space="preserve">e </w:t>
      </w:r>
      <w:r w:rsidR="00D2412B" w:rsidRPr="001C3299">
        <w:t>per il successo dell’espansione internazionale dell’impresa</w:t>
      </w:r>
      <w:r w:rsidR="0091511A" w:rsidRPr="001C3299">
        <w:t xml:space="preserve">, </w:t>
      </w:r>
      <w:r w:rsidR="006718A6" w:rsidRPr="001C3299">
        <w:t>e tale valore supera</w:t>
      </w:r>
      <w:r w:rsidR="001E0831" w:rsidRPr="001C3299">
        <w:t xml:space="preserve"> </w:t>
      </w:r>
      <w:r w:rsidR="002D4179">
        <w:t xml:space="preserve">abbondantemente </w:t>
      </w:r>
      <w:r w:rsidR="001E0831" w:rsidRPr="001C3299">
        <w:t xml:space="preserve">il 90% tra </w:t>
      </w:r>
      <w:r w:rsidR="006718A6" w:rsidRPr="001C3299">
        <w:t>le realtà</w:t>
      </w:r>
      <w:r w:rsidR="001E0831" w:rsidRPr="001C3299">
        <w:t xml:space="preserve"> che superano i 50 milioni di ricav</w:t>
      </w:r>
      <w:r w:rsidR="00D2412B" w:rsidRPr="001C3299">
        <w:t>i (9</w:t>
      </w:r>
      <w:r w:rsidR="002D4179">
        <w:t>8</w:t>
      </w:r>
      <w:r w:rsidR="00D2412B" w:rsidRPr="001C3299">
        <w:t>,</w:t>
      </w:r>
      <w:r w:rsidR="002D4179">
        <w:t>4</w:t>
      </w:r>
      <w:r w:rsidR="00D2412B" w:rsidRPr="001C3299">
        <w:t>%).</w:t>
      </w:r>
      <w:r w:rsidR="001E0831">
        <w:t xml:space="preserve"> </w:t>
      </w:r>
    </w:p>
    <w:p w14:paraId="03B36CBB" w14:textId="77777777" w:rsidR="001E0831" w:rsidRDefault="001E0831" w:rsidP="001E0831"/>
    <w:p w14:paraId="1581237E" w14:textId="77777777" w:rsidR="005D585D" w:rsidRPr="001338C1" w:rsidRDefault="005D585D" w:rsidP="001E0831"/>
    <w:p w14:paraId="155EFEA1" w14:textId="1FED4270" w:rsidR="001E0831" w:rsidRDefault="001F08D2" w:rsidP="001E0831">
      <w:pPr>
        <w:rPr>
          <w:rFonts w:eastAsia="Times New Roman" w:cstheme="minorHAnsi"/>
          <w:b/>
          <w:bCs/>
          <w:color w:val="000000"/>
          <w:kern w:val="0"/>
          <w:lang w:eastAsia="it-IT"/>
          <w14:ligatures w14:val="none"/>
        </w:rPr>
      </w:pPr>
      <w:r>
        <w:rPr>
          <w:rFonts w:cstheme="minorHAnsi"/>
          <w:b/>
          <w:bCs/>
        </w:rPr>
        <w:t>Fig</w:t>
      </w:r>
      <w:r w:rsidR="001E0831" w:rsidRPr="00E0512C">
        <w:rPr>
          <w:rFonts w:cstheme="minorHAnsi"/>
          <w:b/>
          <w:bCs/>
        </w:rPr>
        <w:t xml:space="preserve">. 5.1b - </w:t>
      </w:r>
      <w:r w:rsidR="001E0831" w:rsidRPr="00E0512C">
        <w:rPr>
          <w:rFonts w:cstheme="minorHAnsi"/>
          <w:b/>
        </w:rPr>
        <w:t>Come</w:t>
      </w:r>
      <w:r w:rsidR="001E0831" w:rsidRPr="00E0512C">
        <w:rPr>
          <w:rFonts w:eastAsia="Times New Roman" w:cstheme="minorHAnsi"/>
          <w:b/>
          <w:bCs/>
          <w:color w:val="000000"/>
          <w:kern w:val="0"/>
          <w:lang w:eastAsia="it-IT"/>
          <w14:ligatures w14:val="none"/>
        </w:rPr>
        <w:t xml:space="preserve"> valuta l'importanza della sostenibilità per il successo dell'espansione internazionale dell'impresa</w:t>
      </w:r>
      <w:r w:rsidR="00E66A21">
        <w:rPr>
          <w:rFonts w:eastAsia="Times New Roman" w:cstheme="minorHAnsi"/>
          <w:b/>
          <w:bCs/>
          <w:color w:val="000000"/>
          <w:kern w:val="0"/>
          <w:lang w:eastAsia="it-IT"/>
          <w14:ligatures w14:val="none"/>
        </w:rPr>
        <w:t xml:space="preserve"> per classe dimensionale</w:t>
      </w:r>
      <w:r w:rsidR="001E0831" w:rsidRPr="00E0512C">
        <w:rPr>
          <w:rFonts w:eastAsia="Times New Roman" w:cstheme="minorHAnsi"/>
          <w:b/>
          <w:bCs/>
          <w:color w:val="000000"/>
          <w:kern w:val="0"/>
          <w:lang w:eastAsia="it-IT"/>
          <w14:ligatures w14:val="none"/>
        </w:rPr>
        <w:t>? (val % al netto delle non risposte)</w:t>
      </w:r>
    </w:p>
    <w:p w14:paraId="253DCAA2" w14:textId="21B9841B" w:rsidR="008B72C4" w:rsidRDefault="008B72C4" w:rsidP="001E0831">
      <w:pPr>
        <w:rPr>
          <w:rFonts w:eastAsia="Times New Roman" w:cstheme="minorHAnsi"/>
          <w:b/>
          <w:bCs/>
          <w:color w:val="000000"/>
          <w:kern w:val="0"/>
          <w:lang w:eastAsia="it-IT"/>
          <w14:ligatures w14:val="none"/>
        </w:rPr>
      </w:pPr>
      <w:r>
        <w:rPr>
          <w:noProof/>
        </w:rPr>
        <w:drawing>
          <wp:inline distT="0" distB="0" distL="0" distR="0" wp14:anchorId="650DB30F" wp14:editId="000C5624">
            <wp:extent cx="6367462" cy="2743200"/>
            <wp:effectExtent l="0" t="0" r="0" b="0"/>
            <wp:docPr id="418521360" name="Grafico 1">
              <a:extLst xmlns:a="http://schemas.openxmlformats.org/drawingml/2006/main">
                <a:ext uri="{FF2B5EF4-FFF2-40B4-BE49-F238E27FC236}">
                  <a16:creationId xmlns:a16="http://schemas.microsoft.com/office/drawing/2014/main" id="{D0166012-C2CA-0C73-6499-B43A2F4DA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8AFEF7" w14:textId="790B832F" w:rsidR="001E0831" w:rsidRPr="009A6F7D" w:rsidRDefault="001E0831" w:rsidP="001E0831">
      <w:pPr>
        <w:rPr>
          <w:sz w:val="18"/>
          <w:szCs w:val="18"/>
        </w:rPr>
      </w:pPr>
      <w:r w:rsidRPr="009A6F7D">
        <w:rPr>
          <w:sz w:val="18"/>
          <w:szCs w:val="18"/>
        </w:rPr>
        <w:t>Fonte: Fondazione Nord Est (</w:t>
      </w:r>
      <w:r>
        <w:rPr>
          <w:sz w:val="18"/>
          <w:szCs w:val="18"/>
        </w:rPr>
        <w:t>649</w:t>
      </w:r>
      <w:r w:rsidRPr="009A6F7D">
        <w:rPr>
          <w:sz w:val="18"/>
          <w:szCs w:val="18"/>
        </w:rPr>
        <w:t xml:space="preserve"> casi)</w:t>
      </w:r>
    </w:p>
    <w:p w14:paraId="277BC9AB" w14:textId="77777777" w:rsidR="001E0831" w:rsidRDefault="001E0831" w:rsidP="003754E1">
      <w:pPr>
        <w:jc w:val="both"/>
      </w:pPr>
    </w:p>
    <w:p w14:paraId="577159C3" w14:textId="1DF01BEE" w:rsidR="003E1355" w:rsidRDefault="008C2EFA" w:rsidP="006B6CAF">
      <w:pPr>
        <w:jc w:val="both"/>
      </w:pPr>
      <w:r>
        <w:t xml:space="preserve">Per più di metà delle imprese (53%) l’interesse verso la sostenibilità da parte di clienti e </w:t>
      </w:r>
      <w:r w:rsidRPr="001C3299">
        <w:t>fornitor</w:t>
      </w:r>
      <w:r w:rsidR="00112FA0" w:rsidRPr="001C3299">
        <w:t>i internazionali</w:t>
      </w:r>
      <w:r w:rsidR="00112FA0">
        <w:t xml:space="preserve"> </w:t>
      </w:r>
      <w:r>
        <w:t>è anda</w:t>
      </w:r>
      <w:r w:rsidR="00E54CE5">
        <w:t>t</w:t>
      </w:r>
      <w:r>
        <w:t>o via via aumentando nel tempo</w:t>
      </w:r>
      <w:r w:rsidR="00DF608A">
        <w:t xml:space="preserve"> (</w:t>
      </w:r>
      <w:r w:rsidR="006A274B">
        <w:t>Fig</w:t>
      </w:r>
      <w:r w:rsidR="00DF608A">
        <w:t xml:space="preserve">. 5.2), </w:t>
      </w:r>
      <w:r w:rsidR="00164556">
        <w:t>una percentuale che raggiunge il 75,6% tra le imprese di dimensioni maggiori (</w:t>
      </w:r>
      <w:r w:rsidR="006A274B">
        <w:t>Fig</w:t>
      </w:r>
      <w:r w:rsidR="00164556">
        <w:t>. 5.2b).</w:t>
      </w:r>
    </w:p>
    <w:p w14:paraId="59BD48C8" w14:textId="77777777" w:rsidR="003E1355" w:rsidRDefault="003E1355" w:rsidP="006B6CAF">
      <w:pPr>
        <w:jc w:val="both"/>
        <w:rPr>
          <w:b/>
          <w:bCs/>
        </w:rPr>
      </w:pPr>
    </w:p>
    <w:p w14:paraId="222F620C" w14:textId="3BB79F65" w:rsidR="006B6CAF" w:rsidRPr="003E1355" w:rsidRDefault="006A274B" w:rsidP="006B6CAF">
      <w:pPr>
        <w:jc w:val="both"/>
      </w:pPr>
      <w:r>
        <w:rPr>
          <w:b/>
          <w:bCs/>
        </w:rPr>
        <w:t>Fig</w:t>
      </w:r>
      <w:r w:rsidR="006B6CAF">
        <w:rPr>
          <w:b/>
          <w:bCs/>
        </w:rPr>
        <w:t>.</w:t>
      </w:r>
      <w:r w:rsidR="006B6CAF" w:rsidRPr="00E55649">
        <w:rPr>
          <w:b/>
          <w:bCs/>
        </w:rPr>
        <w:t xml:space="preserve"> 5.2 </w:t>
      </w:r>
      <w:r w:rsidR="00DF608A">
        <w:rPr>
          <w:b/>
          <w:bCs/>
        </w:rPr>
        <w:t xml:space="preserve">- </w:t>
      </w:r>
      <w:r w:rsidR="006B6CAF">
        <w:rPr>
          <w:b/>
          <w:bCs/>
        </w:rPr>
        <w:t>L’i</w:t>
      </w:r>
      <w:r w:rsidR="006B6CAF" w:rsidRPr="00E55649">
        <w:rPr>
          <w:b/>
          <w:bCs/>
        </w:rPr>
        <w:t>nteresse da parte di clienti e fornitori internazionali verso le politiche di sostenibilità ambientale dell'impresa</w:t>
      </w:r>
      <w:r w:rsidR="006B6CAF">
        <w:rPr>
          <w:b/>
          <w:bCs/>
        </w:rPr>
        <w:t xml:space="preserve"> è: (val. % al netto delle non risposte)</w:t>
      </w:r>
    </w:p>
    <w:p w14:paraId="251BC2BD" w14:textId="77777777" w:rsidR="00AF07A7" w:rsidRDefault="00AF07A7" w:rsidP="001C3299">
      <w:pPr>
        <w:jc w:val="center"/>
        <w:rPr>
          <w:sz w:val="18"/>
          <w:szCs w:val="18"/>
        </w:rPr>
      </w:pPr>
      <w:r>
        <w:rPr>
          <w:noProof/>
        </w:rPr>
        <w:drawing>
          <wp:inline distT="0" distB="0" distL="0" distR="0" wp14:anchorId="6581B2A5" wp14:editId="7CAC411E">
            <wp:extent cx="5481637" cy="1795463"/>
            <wp:effectExtent l="0" t="0" r="5080" b="0"/>
            <wp:docPr id="1674448138" name="Grafico 1">
              <a:extLst xmlns:a="http://schemas.openxmlformats.org/drawingml/2006/main">
                <a:ext uri="{FF2B5EF4-FFF2-40B4-BE49-F238E27FC236}">
                  <a16:creationId xmlns:a16="http://schemas.microsoft.com/office/drawing/2014/main" id="{17447410-2483-8C75-4503-E07E813BE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2F53FC" w14:textId="27453555" w:rsidR="00E55649" w:rsidRPr="00700ED6" w:rsidRDefault="00E55649" w:rsidP="003754E1">
      <w:pPr>
        <w:rPr>
          <w:sz w:val="18"/>
          <w:szCs w:val="18"/>
        </w:rPr>
      </w:pPr>
      <w:r w:rsidRPr="00700ED6">
        <w:rPr>
          <w:sz w:val="18"/>
          <w:szCs w:val="18"/>
        </w:rPr>
        <w:t>Fonte: Fondazione Nord Est (</w:t>
      </w:r>
      <w:r w:rsidR="00D61DF2" w:rsidRPr="00700ED6">
        <w:rPr>
          <w:sz w:val="18"/>
          <w:szCs w:val="18"/>
        </w:rPr>
        <w:t>649</w:t>
      </w:r>
      <w:r w:rsidRPr="00700ED6">
        <w:rPr>
          <w:sz w:val="18"/>
          <w:szCs w:val="18"/>
        </w:rPr>
        <w:t xml:space="preserve"> casi)</w:t>
      </w:r>
    </w:p>
    <w:p w14:paraId="29B8F9A9" w14:textId="77777777" w:rsidR="008C2EFA" w:rsidRDefault="008C2EFA" w:rsidP="003754E1">
      <w:pPr>
        <w:jc w:val="both"/>
      </w:pPr>
    </w:p>
    <w:p w14:paraId="4C4321EE" w14:textId="6C6FA9BC" w:rsidR="006B6CAF" w:rsidRPr="006B6CAF" w:rsidRDefault="006A274B" w:rsidP="003754E1">
      <w:pPr>
        <w:jc w:val="both"/>
        <w:rPr>
          <w:b/>
          <w:bCs/>
        </w:rPr>
      </w:pPr>
      <w:r>
        <w:rPr>
          <w:b/>
          <w:bCs/>
        </w:rPr>
        <w:lastRenderedPageBreak/>
        <w:t>Fig</w:t>
      </w:r>
      <w:r w:rsidR="006B6CAF">
        <w:rPr>
          <w:b/>
          <w:bCs/>
        </w:rPr>
        <w:t>.</w:t>
      </w:r>
      <w:r w:rsidR="006B6CAF" w:rsidRPr="00E55649">
        <w:rPr>
          <w:b/>
          <w:bCs/>
        </w:rPr>
        <w:t xml:space="preserve"> 5.2</w:t>
      </w:r>
      <w:r w:rsidR="006B6CAF">
        <w:rPr>
          <w:b/>
          <w:bCs/>
        </w:rPr>
        <w:t>b</w:t>
      </w:r>
      <w:r w:rsidR="00DF608A">
        <w:rPr>
          <w:b/>
          <w:bCs/>
        </w:rPr>
        <w:t xml:space="preserve"> -</w:t>
      </w:r>
      <w:r w:rsidR="006B6CAF" w:rsidRPr="00E55649">
        <w:rPr>
          <w:b/>
          <w:bCs/>
        </w:rPr>
        <w:t xml:space="preserve"> </w:t>
      </w:r>
      <w:r w:rsidR="006B6CAF">
        <w:rPr>
          <w:b/>
          <w:bCs/>
        </w:rPr>
        <w:t>L’i</w:t>
      </w:r>
      <w:r w:rsidR="006B6CAF" w:rsidRPr="00E55649">
        <w:rPr>
          <w:b/>
          <w:bCs/>
        </w:rPr>
        <w:t>nteresse da parte di clienti e fornitori internazionali verso le politiche di sostenibilità ambientale dell'impresa</w:t>
      </w:r>
      <w:r w:rsidR="006B6CAF">
        <w:rPr>
          <w:b/>
          <w:bCs/>
        </w:rPr>
        <w:t xml:space="preserve"> è: (val. % al netto delle non risposte</w:t>
      </w:r>
      <w:r w:rsidR="004370C7">
        <w:rPr>
          <w:b/>
          <w:bCs/>
        </w:rPr>
        <w:t xml:space="preserve"> per volume dei ricavi</w:t>
      </w:r>
      <w:r w:rsidR="00190580">
        <w:rPr>
          <w:b/>
          <w:bCs/>
        </w:rPr>
        <w:t>)</w:t>
      </w:r>
    </w:p>
    <w:p w14:paraId="58004703" w14:textId="1E699563" w:rsidR="00EC4359" w:rsidRDefault="00EC4359" w:rsidP="00164556">
      <w:pPr>
        <w:rPr>
          <w:sz w:val="18"/>
          <w:szCs w:val="18"/>
        </w:rPr>
      </w:pPr>
      <w:r>
        <w:rPr>
          <w:noProof/>
        </w:rPr>
        <w:drawing>
          <wp:inline distT="0" distB="0" distL="0" distR="0" wp14:anchorId="5394BA53" wp14:editId="65F5128F">
            <wp:extent cx="6119446" cy="1869440"/>
            <wp:effectExtent l="0" t="0" r="0" b="0"/>
            <wp:docPr id="216868680" name="Grafico 1">
              <a:extLst xmlns:a="http://schemas.openxmlformats.org/drawingml/2006/main">
                <a:ext uri="{FF2B5EF4-FFF2-40B4-BE49-F238E27FC236}">
                  <a16:creationId xmlns:a16="http://schemas.microsoft.com/office/drawing/2014/main" id="{2BFF0654-0CC3-7812-6EEE-274437CD1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FDB487" w14:textId="1C5DDD52" w:rsidR="00164556" w:rsidRPr="00AA61E9" w:rsidRDefault="00164556" w:rsidP="00164556">
      <w:pPr>
        <w:rPr>
          <w:sz w:val="18"/>
          <w:szCs w:val="18"/>
        </w:rPr>
      </w:pPr>
      <w:r w:rsidRPr="00AA61E9">
        <w:rPr>
          <w:sz w:val="18"/>
          <w:szCs w:val="18"/>
        </w:rPr>
        <w:t>Fonte: Fondazione Nord Est (649 casi)</w:t>
      </w:r>
    </w:p>
    <w:p w14:paraId="31F58A5D" w14:textId="77777777" w:rsidR="006B6CAF" w:rsidRDefault="006B6CAF" w:rsidP="003754E1">
      <w:pPr>
        <w:jc w:val="both"/>
      </w:pPr>
    </w:p>
    <w:p w14:paraId="6191188C" w14:textId="77777777" w:rsidR="00B7501D" w:rsidRDefault="00B7501D" w:rsidP="003754E1">
      <w:pPr>
        <w:jc w:val="both"/>
      </w:pPr>
    </w:p>
    <w:p w14:paraId="44FC4401" w14:textId="2FB93E74" w:rsidR="000A3081" w:rsidRDefault="00112FA0" w:rsidP="003754E1">
      <w:pPr>
        <w:jc w:val="both"/>
      </w:pPr>
      <w:r w:rsidRPr="00B7501D">
        <w:t xml:space="preserve">Facendo riferimento alla propria esperienza, le </w:t>
      </w:r>
      <w:r w:rsidR="00AA61E9" w:rsidRPr="00B7501D">
        <w:t>imprese che scelgono</w:t>
      </w:r>
      <w:r w:rsidR="00326588" w:rsidRPr="00B7501D">
        <w:t xml:space="preserve"> di intraprendere politiche finalizzate a</w:t>
      </w:r>
      <w:r w:rsidR="00AA61E9" w:rsidRPr="00B7501D">
        <w:t xml:space="preserve"> migliorare il proprio impatto sulla </w:t>
      </w:r>
      <w:r w:rsidR="003F5B4A" w:rsidRPr="00B7501D">
        <w:t>sostenibilità</w:t>
      </w:r>
      <w:r w:rsidR="00326588" w:rsidRPr="00B7501D">
        <w:t xml:space="preserve"> ambientale</w:t>
      </w:r>
      <w:r w:rsidR="003F5B4A" w:rsidRPr="00B7501D">
        <w:t xml:space="preserve"> </w:t>
      </w:r>
      <w:r w:rsidR="00AA61E9" w:rsidRPr="00B7501D">
        <w:t xml:space="preserve">vedono </w:t>
      </w:r>
      <w:r w:rsidR="00065D5A" w:rsidRPr="00B7501D">
        <w:t xml:space="preserve">aumentare la </w:t>
      </w:r>
      <w:r w:rsidR="00AA61E9" w:rsidRPr="00B7501D">
        <w:t>propria</w:t>
      </w:r>
      <w:r w:rsidR="00AA61E9">
        <w:t xml:space="preserve"> </w:t>
      </w:r>
      <w:r w:rsidR="003F5B4A">
        <w:t xml:space="preserve">reputazione </w:t>
      </w:r>
      <w:r w:rsidR="00065D5A">
        <w:t>a livello internazionale</w:t>
      </w:r>
      <w:r w:rsidR="00AA61E9">
        <w:t>:</w:t>
      </w:r>
      <w:r w:rsidR="00065D5A">
        <w:t xml:space="preserve"> </w:t>
      </w:r>
      <w:r w:rsidR="00AA61E9">
        <w:t>i</w:t>
      </w:r>
      <w:r w:rsidR="00065D5A">
        <w:t>l 59,9% delle imprese si dichiara d’accordo con tale affermazione, il 21% moltissimo d’a</w:t>
      </w:r>
      <w:r w:rsidR="002F79D6">
        <w:t xml:space="preserve">ccordo (80,9% il totale). </w:t>
      </w:r>
      <w:r w:rsidR="00383386">
        <w:t>All’aumentare del volume dei ricavi aumenta la percentuale di imprese</w:t>
      </w:r>
      <w:r w:rsidR="00993D8F">
        <w:t xml:space="preserve"> d’accordo (</w:t>
      </w:r>
      <w:r w:rsidR="002F79D6">
        <w:t>92,8% oltre i 50 milioni di euro</w:t>
      </w:r>
      <w:r w:rsidR="002F719A">
        <w:t>)</w:t>
      </w:r>
      <w:r w:rsidR="002F79D6">
        <w:t>.</w:t>
      </w:r>
    </w:p>
    <w:p w14:paraId="33D644A7" w14:textId="77777777" w:rsidR="000A3081" w:rsidRDefault="000A3081" w:rsidP="003754E1">
      <w:pPr>
        <w:jc w:val="both"/>
      </w:pPr>
    </w:p>
    <w:p w14:paraId="33CFA330" w14:textId="77777777" w:rsidR="001C3299" w:rsidRDefault="001C3299" w:rsidP="003754E1">
      <w:pPr>
        <w:jc w:val="both"/>
      </w:pPr>
    </w:p>
    <w:p w14:paraId="5C4B6518" w14:textId="66B0D886" w:rsidR="000A3081" w:rsidRPr="00BD6B38" w:rsidRDefault="006A274B" w:rsidP="003754E1">
      <w:pPr>
        <w:jc w:val="both"/>
        <w:rPr>
          <w:rFonts w:ascii="Arial" w:eastAsia="Times New Roman" w:hAnsi="Arial" w:cs="Arial"/>
          <w:b/>
          <w:bCs/>
          <w:color w:val="000000"/>
          <w:kern w:val="0"/>
          <w:sz w:val="20"/>
          <w:szCs w:val="20"/>
          <w:lang w:eastAsia="it-IT"/>
          <w14:ligatures w14:val="none"/>
        </w:rPr>
      </w:pPr>
      <w:r>
        <w:rPr>
          <w:b/>
          <w:bCs/>
        </w:rPr>
        <w:t>Fig</w:t>
      </w:r>
      <w:r w:rsidR="000A3081">
        <w:rPr>
          <w:b/>
          <w:bCs/>
        </w:rPr>
        <w:t>.</w:t>
      </w:r>
      <w:r w:rsidR="000A3081" w:rsidRPr="00BD6B38">
        <w:rPr>
          <w:b/>
          <w:bCs/>
        </w:rPr>
        <w:t xml:space="preserve"> 5.</w:t>
      </w:r>
      <w:r w:rsidR="004C5FF8">
        <w:rPr>
          <w:b/>
          <w:bCs/>
        </w:rPr>
        <w:t>3 -</w:t>
      </w:r>
      <w:r w:rsidR="000A3081" w:rsidRPr="00BD6B38">
        <w:rPr>
          <w:rFonts w:ascii="Arial" w:hAnsi="Arial" w:cs="Arial"/>
          <w:b/>
          <w:bCs/>
          <w:color w:val="000000"/>
          <w:sz w:val="20"/>
          <w:szCs w:val="20"/>
        </w:rPr>
        <w:t xml:space="preserve"> </w:t>
      </w:r>
      <w:r w:rsidR="000A3081">
        <w:rPr>
          <w:rFonts w:ascii="Arial" w:eastAsia="Times New Roman" w:hAnsi="Arial" w:cs="Arial"/>
          <w:b/>
          <w:bCs/>
          <w:color w:val="000000"/>
          <w:kern w:val="0"/>
          <w:sz w:val="20"/>
          <w:szCs w:val="20"/>
          <w:lang w:eastAsia="it-IT"/>
          <w14:ligatures w14:val="none"/>
        </w:rPr>
        <w:t>La sostenibilità ambientale aiuta a migliorare la reputazione dell’impresa a livello internazionale? (val % al netto delle non risposte</w:t>
      </w:r>
      <w:r w:rsidR="00A0209E">
        <w:rPr>
          <w:rFonts w:ascii="Arial" w:eastAsia="Times New Roman" w:hAnsi="Arial" w:cs="Arial"/>
          <w:b/>
          <w:bCs/>
          <w:color w:val="000000"/>
          <w:kern w:val="0"/>
          <w:sz w:val="20"/>
          <w:szCs w:val="20"/>
          <w:lang w:eastAsia="it-IT"/>
          <w14:ligatures w14:val="none"/>
        </w:rPr>
        <w:t xml:space="preserve"> per volume dei ricavi</w:t>
      </w:r>
      <w:r w:rsidR="000A3081">
        <w:rPr>
          <w:rFonts w:ascii="Arial" w:eastAsia="Times New Roman" w:hAnsi="Arial" w:cs="Arial"/>
          <w:b/>
          <w:bCs/>
          <w:color w:val="000000"/>
          <w:kern w:val="0"/>
          <w:sz w:val="20"/>
          <w:szCs w:val="20"/>
          <w:lang w:eastAsia="it-IT"/>
          <w14:ligatures w14:val="none"/>
        </w:rPr>
        <w:t>)</w:t>
      </w:r>
    </w:p>
    <w:p w14:paraId="6F2AFF90" w14:textId="5B028789" w:rsidR="00AF5A75" w:rsidRDefault="00AF5A75" w:rsidP="003754E1">
      <w:pPr>
        <w:rPr>
          <w:sz w:val="18"/>
          <w:szCs w:val="18"/>
        </w:rPr>
      </w:pPr>
      <w:r>
        <w:rPr>
          <w:noProof/>
        </w:rPr>
        <w:drawing>
          <wp:inline distT="0" distB="0" distL="0" distR="0" wp14:anchorId="0B167754" wp14:editId="4553A2C9">
            <wp:extent cx="6368995" cy="2436495"/>
            <wp:effectExtent l="0" t="0" r="0" b="1905"/>
            <wp:docPr id="1802622953" name="Grafico 1">
              <a:extLst xmlns:a="http://schemas.openxmlformats.org/drawingml/2006/main">
                <a:ext uri="{FF2B5EF4-FFF2-40B4-BE49-F238E27FC236}">
                  <a16:creationId xmlns:a16="http://schemas.microsoft.com/office/drawing/2014/main" id="{50329B21-1CF0-C83D-AF03-CB415982F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D38A0C" w14:textId="20F842E5" w:rsidR="000A3081" w:rsidRPr="009A6F7D" w:rsidRDefault="000A3081" w:rsidP="003754E1">
      <w:pPr>
        <w:rPr>
          <w:sz w:val="18"/>
          <w:szCs w:val="18"/>
        </w:rPr>
      </w:pPr>
      <w:r w:rsidRPr="009A6F7D">
        <w:rPr>
          <w:sz w:val="18"/>
          <w:szCs w:val="18"/>
        </w:rPr>
        <w:t>Fonte: Fondazione Nord Est (</w:t>
      </w:r>
      <w:r>
        <w:rPr>
          <w:sz w:val="18"/>
          <w:szCs w:val="18"/>
        </w:rPr>
        <w:t>649</w:t>
      </w:r>
      <w:r w:rsidRPr="009A6F7D">
        <w:rPr>
          <w:sz w:val="18"/>
          <w:szCs w:val="18"/>
        </w:rPr>
        <w:t xml:space="preserve"> casi)</w:t>
      </w:r>
    </w:p>
    <w:p w14:paraId="3262B4FA" w14:textId="77777777" w:rsidR="000A3081" w:rsidRDefault="000A3081" w:rsidP="003754E1"/>
    <w:p w14:paraId="2F0C4569" w14:textId="75803D2F" w:rsidR="005C24FB" w:rsidRDefault="00040EC7" w:rsidP="003754E1">
      <w:pPr>
        <w:jc w:val="both"/>
      </w:pPr>
      <w:r w:rsidRPr="00B7501D">
        <w:t xml:space="preserve">Agli imprenditori e ai manager </w:t>
      </w:r>
      <w:r w:rsidR="0050520F" w:rsidRPr="00B7501D">
        <w:t>che hanno partecipato all</w:t>
      </w:r>
      <w:r w:rsidR="00350DAE" w:rsidRPr="00B7501D">
        <w:t>a ricerca è stato di chiesto di guardare al passato e di valutare quant</w:t>
      </w:r>
      <w:r w:rsidRPr="00B7501D">
        <w:t>o l’adozione di politiche di sostenibilità</w:t>
      </w:r>
      <w:r>
        <w:t xml:space="preserve"> ambientale </w:t>
      </w:r>
      <w:r w:rsidR="00350DAE">
        <w:t xml:space="preserve">abbia aiutato l’impresa ad accedere a determinati mercati internazionali. </w:t>
      </w:r>
    </w:p>
    <w:p w14:paraId="72869159" w14:textId="77777777" w:rsidR="00A219E5" w:rsidRDefault="00A219E5" w:rsidP="003754E1"/>
    <w:p w14:paraId="20E33A4B" w14:textId="77777777" w:rsidR="00B7501D" w:rsidRDefault="00B7501D" w:rsidP="003754E1"/>
    <w:p w14:paraId="5B30DF51" w14:textId="77777777" w:rsidR="00B7501D" w:rsidRDefault="00B7501D" w:rsidP="003754E1"/>
    <w:p w14:paraId="4E3A26F7" w14:textId="77777777" w:rsidR="00A219E5" w:rsidRPr="00F618F8" w:rsidRDefault="00A219E5" w:rsidP="003754E1"/>
    <w:p w14:paraId="4F49B86B" w14:textId="765F7A81" w:rsidR="00D61B26" w:rsidRPr="00BD6B38" w:rsidRDefault="006A274B" w:rsidP="003754E1">
      <w:pPr>
        <w:jc w:val="both"/>
        <w:rPr>
          <w:rFonts w:ascii="Arial" w:eastAsia="Times New Roman" w:hAnsi="Arial" w:cs="Arial"/>
          <w:b/>
          <w:bCs/>
          <w:color w:val="000000"/>
          <w:kern w:val="0"/>
          <w:sz w:val="20"/>
          <w:szCs w:val="20"/>
          <w:lang w:eastAsia="it-IT"/>
          <w14:ligatures w14:val="none"/>
        </w:rPr>
      </w:pPr>
      <w:r>
        <w:rPr>
          <w:b/>
          <w:bCs/>
        </w:rPr>
        <w:lastRenderedPageBreak/>
        <w:t>Fig</w:t>
      </w:r>
      <w:r w:rsidR="00321385">
        <w:rPr>
          <w:b/>
          <w:bCs/>
        </w:rPr>
        <w:t>.</w:t>
      </w:r>
      <w:r w:rsidR="007E105E" w:rsidRPr="00BD6B38">
        <w:rPr>
          <w:b/>
          <w:bCs/>
        </w:rPr>
        <w:t xml:space="preserve"> 5.</w:t>
      </w:r>
      <w:r w:rsidR="0058430D">
        <w:rPr>
          <w:b/>
          <w:bCs/>
        </w:rPr>
        <w:t>4 -</w:t>
      </w:r>
      <w:r w:rsidR="00BD6B38" w:rsidRPr="00BD6B38">
        <w:rPr>
          <w:rFonts w:ascii="Arial" w:hAnsi="Arial" w:cs="Arial"/>
          <w:b/>
          <w:bCs/>
          <w:color w:val="000000"/>
          <w:sz w:val="20"/>
          <w:szCs w:val="20"/>
        </w:rPr>
        <w:t xml:space="preserve"> </w:t>
      </w:r>
      <w:r w:rsidR="00BD6B38" w:rsidRPr="00BD6B38">
        <w:rPr>
          <w:rFonts w:ascii="Arial" w:eastAsia="Times New Roman" w:hAnsi="Arial" w:cs="Arial"/>
          <w:b/>
          <w:bCs/>
          <w:color w:val="000000"/>
          <w:kern w:val="0"/>
          <w:sz w:val="20"/>
          <w:szCs w:val="20"/>
          <w:lang w:eastAsia="it-IT"/>
          <w14:ligatures w14:val="none"/>
        </w:rPr>
        <w:t>Ho riscontrato una maggiore facilità nell'accedere a determinati mercati internazionali grazie alle politiche di sostenibilità ambientali adottate dall'impresa</w:t>
      </w:r>
      <w:r w:rsidR="00E578BC">
        <w:rPr>
          <w:rFonts w:ascii="Arial" w:eastAsia="Times New Roman" w:hAnsi="Arial" w:cs="Arial"/>
          <w:b/>
          <w:bCs/>
          <w:color w:val="000000"/>
          <w:kern w:val="0"/>
          <w:sz w:val="20"/>
          <w:szCs w:val="20"/>
          <w:lang w:eastAsia="it-IT"/>
          <w14:ligatures w14:val="none"/>
        </w:rPr>
        <w:t>:</w:t>
      </w:r>
      <w:r w:rsidR="00890435">
        <w:rPr>
          <w:rFonts w:ascii="Arial" w:eastAsia="Times New Roman" w:hAnsi="Arial" w:cs="Arial"/>
          <w:b/>
          <w:bCs/>
          <w:color w:val="000000"/>
          <w:kern w:val="0"/>
          <w:sz w:val="20"/>
          <w:szCs w:val="20"/>
          <w:lang w:eastAsia="it-IT"/>
          <w14:ligatures w14:val="none"/>
        </w:rPr>
        <w:t xml:space="preserve"> (val %</w:t>
      </w:r>
      <w:r w:rsidR="009C53AB">
        <w:rPr>
          <w:rFonts w:ascii="Arial" w:eastAsia="Times New Roman" w:hAnsi="Arial" w:cs="Arial"/>
          <w:b/>
          <w:bCs/>
          <w:color w:val="000000"/>
          <w:kern w:val="0"/>
          <w:sz w:val="20"/>
          <w:szCs w:val="20"/>
          <w:lang w:eastAsia="it-IT"/>
          <w14:ligatures w14:val="none"/>
        </w:rPr>
        <w:t xml:space="preserve"> al netto delle non risposte</w:t>
      </w:r>
      <w:r w:rsidR="00A0209E">
        <w:rPr>
          <w:rFonts w:ascii="Arial" w:eastAsia="Times New Roman" w:hAnsi="Arial" w:cs="Arial"/>
          <w:b/>
          <w:bCs/>
          <w:color w:val="000000"/>
          <w:kern w:val="0"/>
          <w:sz w:val="20"/>
          <w:szCs w:val="20"/>
          <w:lang w:eastAsia="it-IT"/>
          <w14:ligatures w14:val="none"/>
        </w:rPr>
        <w:t xml:space="preserve"> per volume dei ricavi</w:t>
      </w:r>
      <w:r w:rsidR="00890435">
        <w:rPr>
          <w:rFonts w:ascii="Arial" w:eastAsia="Times New Roman" w:hAnsi="Arial" w:cs="Arial"/>
          <w:b/>
          <w:bCs/>
          <w:color w:val="000000"/>
          <w:kern w:val="0"/>
          <w:sz w:val="20"/>
          <w:szCs w:val="20"/>
          <w:lang w:eastAsia="it-IT"/>
          <w14:ligatures w14:val="none"/>
        </w:rPr>
        <w:t>)</w:t>
      </w:r>
    </w:p>
    <w:p w14:paraId="6BAD60C0" w14:textId="4C79390F" w:rsidR="00B71497" w:rsidRDefault="00B71497" w:rsidP="003754E1">
      <w:pPr>
        <w:rPr>
          <w:sz w:val="18"/>
          <w:szCs w:val="18"/>
        </w:rPr>
      </w:pPr>
      <w:r>
        <w:rPr>
          <w:noProof/>
        </w:rPr>
        <w:drawing>
          <wp:inline distT="0" distB="0" distL="0" distR="0" wp14:anchorId="618EDC5F" wp14:editId="76785D4E">
            <wp:extent cx="6349117" cy="2464435"/>
            <wp:effectExtent l="0" t="0" r="0" b="0"/>
            <wp:docPr id="1075721766" name="Grafico 1">
              <a:extLst xmlns:a="http://schemas.openxmlformats.org/drawingml/2006/main">
                <a:ext uri="{FF2B5EF4-FFF2-40B4-BE49-F238E27FC236}">
                  <a16:creationId xmlns:a16="http://schemas.microsoft.com/office/drawing/2014/main" id="{6FE4C1CD-0524-2D3F-9EEC-497785028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A8D645" w14:textId="4C2612D5" w:rsidR="00C92D77" w:rsidRPr="009A6F7D" w:rsidRDefault="0016214A" w:rsidP="003754E1">
      <w:pPr>
        <w:rPr>
          <w:sz w:val="18"/>
          <w:szCs w:val="18"/>
        </w:rPr>
      </w:pPr>
      <w:r w:rsidRPr="009A6F7D">
        <w:rPr>
          <w:sz w:val="18"/>
          <w:szCs w:val="18"/>
        </w:rPr>
        <w:t>Fonte: Fondazione Nord Est (</w:t>
      </w:r>
      <w:r w:rsidR="009C53AB">
        <w:rPr>
          <w:sz w:val="18"/>
          <w:szCs w:val="18"/>
        </w:rPr>
        <w:t>649</w:t>
      </w:r>
      <w:r w:rsidRPr="009A6F7D">
        <w:rPr>
          <w:sz w:val="18"/>
          <w:szCs w:val="18"/>
        </w:rPr>
        <w:t xml:space="preserve"> casi)</w:t>
      </w:r>
    </w:p>
    <w:p w14:paraId="1454047D" w14:textId="77777777" w:rsidR="00DC774A" w:rsidRDefault="00DC774A" w:rsidP="003754E1"/>
    <w:p w14:paraId="1CDE31E8" w14:textId="0CF77700" w:rsidR="001A50C1" w:rsidRDefault="001A50C1" w:rsidP="008A0566">
      <w:pPr>
        <w:jc w:val="both"/>
      </w:pPr>
      <w:r>
        <w:t>Se consideriamo tutti i rispondenti</w:t>
      </w:r>
      <w:r w:rsidR="00040EC7">
        <w:t xml:space="preserve">, </w:t>
      </w:r>
      <w:r>
        <w:t>più di un terzo (il 34,8%) risponde c</w:t>
      </w:r>
      <w:r w:rsidR="00040EC7">
        <w:t xml:space="preserve">he le </w:t>
      </w:r>
      <w:r>
        <w:t xml:space="preserve">politiche di sostenibilità ambientale hanno facilitato l’accesso ad alcuni mercati internazionali. Anche in questo caso le dimensioni aziendali influenzano la risposta. Per le imprese più </w:t>
      </w:r>
      <w:r w:rsidRPr="00B7501D">
        <w:t>grandi (quelle</w:t>
      </w:r>
      <w:r w:rsidR="00040EC7" w:rsidRPr="00B7501D">
        <w:t xml:space="preserve"> con </w:t>
      </w:r>
      <w:r w:rsidRPr="00B7501D">
        <w:t>più di 50 milioni</w:t>
      </w:r>
      <w:r>
        <w:t xml:space="preserve"> di </w:t>
      </w:r>
      <w:r w:rsidR="0004331A" w:rsidRPr="00700ED6">
        <w:t>euro</w:t>
      </w:r>
      <w:r>
        <w:t xml:space="preserve"> di ricavi) questo è vero in quasi la metà dei casi (49,5%), una quota che scende al 26,5% tra le imprese di dimensioni minori. </w:t>
      </w:r>
    </w:p>
    <w:p w14:paraId="301D77D8" w14:textId="1D291629" w:rsidR="00E87721" w:rsidRPr="00515099" w:rsidRDefault="00E87721" w:rsidP="008A0566">
      <w:pPr>
        <w:jc w:val="both"/>
      </w:pPr>
      <w:r w:rsidRPr="00515099">
        <w:t xml:space="preserve">Analizzando gli stessi dati </w:t>
      </w:r>
      <w:r w:rsidR="00C63AB1" w:rsidRPr="00515099">
        <w:t>per appartenenza settorial</w:t>
      </w:r>
      <w:r w:rsidR="00040EC7">
        <w:t xml:space="preserve">e, </w:t>
      </w:r>
      <w:r w:rsidR="00C63AB1" w:rsidRPr="00515099">
        <w:t xml:space="preserve">emerge che nell’ambito metalmeccanico le politiche di sostenibilità ambientale </w:t>
      </w:r>
      <w:r w:rsidR="00A35200" w:rsidRPr="00515099">
        <w:t>determinano</w:t>
      </w:r>
      <w:r w:rsidR="00C63AB1" w:rsidRPr="00515099">
        <w:t xml:space="preserve"> in misura minore </w:t>
      </w:r>
      <w:r w:rsidR="00A35200" w:rsidRPr="00515099">
        <w:t xml:space="preserve">la facilità di accesso a </w:t>
      </w:r>
      <w:r w:rsidR="00BE5029" w:rsidRPr="00515099">
        <w:t>determinati mercati internazionali.</w:t>
      </w:r>
      <w:r w:rsidR="0024547F">
        <w:t xml:space="preserve"> Va sottolineato che non sembrano emergere sostanziali differenze a livello settoriale. </w:t>
      </w:r>
    </w:p>
    <w:p w14:paraId="439EF469" w14:textId="1E4E241C" w:rsidR="004E5B86" w:rsidRDefault="007E4D0B" w:rsidP="008A0566">
      <w:pPr>
        <w:jc w:val="both"/>
      </w:pPr>
      <w:r>
        <w:t>Più di una impresa su quattro (26</w:t>
      </w:r>
      <w:r w:rsidR="00040EC7">
        <w:t>,</w:t>
      </w:r>
      <w:r>
        <w:t xml:space="preserve">6%) ha </w:t>
      </w:r>
      <w:r w:rsidRPr="00B7501D">
        <w:t>adattato o personalizzat</w:t>
      </w:r>
      <w:r w:rsidR="004379AB" w:rsidRPr="00B7501D">
        <w:t xml:space="preserve">o </w:t>
      </w:r>
      <w:r w:rsidRPr="00B7501D">
        <w:t xml:space="preserve">le proprie politiche di sostenibilità </w:t>
      </w:r>
      <w:r w:rsidR="00040EC7" w:rsidRPr="00B7501D">
        <w:t xml:space="preserve">ambientale </w:t>
      </w:r>
      <w:r w:rsidRPr="00B7501D">
        <w:t>in base alle esigenze d</w:t>
      </w:r>
      <w:r w:rsidR="00040EC7" w:rsidRPr="00B7501D">
        <w:t xml:space="preserve">ei diversi </w:t>
      </w:r>
      <w:r w:rsidRPr="00B7501D">
        <w:t>mercati internazionali (</w:t>
      </w:r>
      <w:r w:rsidR="008A0566" w:rsidRPr="00B7501D">
        <w:t>36,4</w:t>
      </w:r>
      <w:r w:rsidR="008A0566">
        <w:t xml:space="preserve">% tra le imprese di dimensioni maggiori). </w:t>
      </w:r>
    </w:p>
    <w:p w14:paraId="74A6E5C8" w14:textId="77777777" w:rsidR="008A0566" w:rsidRDefault="008A0566" w:rsidP="008A0566">
      <w:pPr>
        <w:jc w:val="both"/>
      </w:pPr>
    </w:p>
    <w:p w14:paraId="376BBC76" w14:textId="77777777" w:rsidR="00E04D0E" w:rsidRDefault="00E04D0E" w:rsidP="008A0566">
      <w:pPr>
        <w:jc w:val="both"/>
      </w:pPr>
    </w:p>
    <w:p w14:paraId="5ABC7F14" w14:textId="67C790BE" w:rsidR="00134EE8" w:rsidRPr="004E5B86" w:rsidRDefault="0058430D" w:rsidP="008A0566">
      <w:pPr>
        <w:jc w:val="both"/>
        <w:rPr>
          <w:b/>
          <w:bCs/>
        </w:rPr>
      </w:pPr>
      <w:r>
        <w:rPr>
          <w:b/>
          <w:bCs/>
        </w:rPr>
        <w:t>Fig</w:t>
      </w:r>
      <w:r w:rsidR="00134EE8" w:rsidRPr="004E5B86">
        <w:rPr>
          <w:b/>
          <w:bCs/>
        </w:rPr>
        <w:t xml:space="preserve">. </w:t>
      </w:r>
      <w:r w:rsidR="005F2801" w:rsidRPr="004E5B86">
        <w:rPr>
          <w:b/>
          <w:bCs/>
        </w:rPr>
        <w:t>5.</w:t>
      </w:r>
      <w:r w:rsidR="006A274B">
        <w:rPr>
          <w:b/>
          <w:bCs/>
        </w:rPr>
        <w:t>5</w:t>
      </w:r>
      <w:r w:rsidR="005F2801" w:rsidRPr="004E5B86">
        <w:rPr>
          <w:b/>
          <w:bCs/>
        </w:rPr>
        <w:t xml:space="preserve"> – Imprese che hanno adattato o personalizzato</w:t>
      </w:r>
      <w:r w:rsidR="004E5B86" w:rsidRPr="004E5B86">
        <w:rPr>
          <w:b/>
          <w:bCs/>
        </w:rPr>
        <w:t xml:space="preserve"> le proprie politiche di </w:t>
      </w:r>
      <w:r w:rsidR="004E5B86" w:rsidRPr="00B7501D">
        <w:rPr>
          <w:b/>
          <w:bCs/>
        </w:rPr>
        <w:t>sostenibilit</w:t>
      </w:r>
      <w:r w:rsidR="00040EC7" w:rsidRPr="00B7501D">
        <w:rPr>
          <w:b/>
          <w:bCs/>
        </w:rPr>
        <w:t xml:space="preserve">à ambientale </w:t>
      </w:r>
      <w:r w:rsidR="004E5B86" w:rsidRPr="00B7501D">
        <w:rPr>
          <w:b/>
          <w:bCs/>
        </w:rPr>
        <w:t>in</w:t>
      </w:r>
      <w:r w:rsidR="004E5B86" w:rsidRPr="004E5B86">
        <w:rPr>
          <w:b/>
          <w:bCs/>
        </w:rPr>
        <w:t xml:space="preserve"> base alle esigenze dei diversi mercati internazionali</w:t>
      </w:r>
    </w:p>
    <w:p w14:paraId="459D6004" w14:textId="06E3E822" w:rsidR="00962981" w:rsidRDefault="00134EE8" w:rsidP="008A0566">
      <w:pPr>
        <w:jc w:val="both"/>
      </w:pPr>
      <w:r>
        <w:rPr>
          <w:noProof/>
        </w:rPr>
        <w:drawing>
          <wp:inline distT="0" distB="0" distL="0" distR="0" wp14:anchorId="704D1493" wp14:editId="63257307">
            <wp:extent cx="6105525" cy="2321781"/>
            <wp:effectExtent l="0" t="0" r="0" b="2540"/>
            <wp:docPr id="489058818" name="Grafico 1">
              <a:extLst xmlns:a="http://schemas.openxmlformats.org/drawingml/2006/main">
                <a:ext uri="{FF2B5EF4-FFF2-40B4-BE49-F238E27FC236}">
                  <a16:creationId xmlns:a16="http://schemas.microsoft.com/office/drawing/2014/main" id="{7F46D4E9-7B90-C440-8FAB-B760130C3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DFFBCE" w14:textId="77777777" w:rsidR="004E5B86" w:rsidRPr="009A6F7D" w:rsidRDefault="004E5B86" w:rsidP="008A0566">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6865DFEE" w14:textId="77777777" w:rsidR="00962981" w:rsidRDefault="00962981" w:rsidP="008A0566">
      <w:pPr>
        <w:jc w:val="both"/>
      </w:pPr>
    </w:p>
    <w:p w14:paraId="3AB8D430" w14:textId="59B9475B" w:rsidR="003A64B9" w:rsidRDefault="003A64B9" w:rsidP="008A0566">
      <w:pPr>
        <w:jc w:val="both"/>
      </w:pPr>
      <w:r>
        <w:lastRenderedPageBreak/>
        <w:t>A riprova dell’importanza che la sostenibilità assume nei processi di internazionalizza</w:t>
      </w:r>
      <w:r w:rsidR="00040EC7">
        <w:t xml:space="preserve">zione, </w:t>
      </w:r>
      <w:r w:rsidR="007828D2">
        <w:t xml:space="preserve">il dato che evidenzia come quasi il </w:t>
      </w:r>
      <w:r w:rsidR="00BE5704">
        <w:t>70</w:t>
      </w:r>
      <w:r w:rsidR="007828D2">
        <w:t>% delle imprese valut</w:t>
      </w:r>
      <w:r w:rsidR="00BE5704">
        <w:t>i</w:t>
      </w:r>
      <w:r w:rsidR="002D51E7">
        <w:t xml:space="preserve"> l’attenzione alla sostenibilità dei potenziali </w:t>
      </w:r>
      <w:r w:rsidR="002D51E7" w:rsidRPr="00B7501D">
        <w:t>clienti come</w:t>
      </w:r>
      <w:r w:rsidR="00E42FEA" w:rsidRPr="00B7501D">
        <w:t xml:space="preserve"> una variabile </w:t>
      </w:r>
      <w:r w:rsidR="00BE5704" w:rsidRPr="00B7501D">
        <w:t>nella scelta di un nuovo mercato (</w:t>
      </w:r>
      <w:r w:rsidR="00072D6E" w:rsidRPr="00B7501D">
        <w:t>il 10,9% lo ritiene un parametro fondamentale, il 57,3% lo valuta</w:t>
      </w:r>
      <w:r w:rsidR="00072D6E">
        <w:t xml:space="preserve"> ma non lo considera fondamentale). </w:t>
      </w:r>
    </w:p>
    <w:p w14:paraId="27813E82" w14:textId="77777777" w:rsidR="003A64B9" w:rsidRDefault="003A64B9" w:rsidP="008A0566">
      <w:pPr>
        <w:jc w:val="both"/>
      </w:pPr>
    </w:p>
    <w:p w14:paraId="5002A7B7" w14:textId="77777777" w:rsidR="00E04D0E" w:rsidRDefault="00E04D0E" w:rsidP="008A0566">
      <w:pPr>
        <w:jc w:val="both"/>
      </w:pPr>
    </w:p>
    <w:p w14:paraId="1893C6E3" w14:textId="6A6D8BED" w:rsidR="00F70847" w:rsidRPr="00F70847" w:rsidRDefault="0058430D" w:rsidP="008A0566">
      <w:pPr>
        <w:jc w:val="both"/>
        <w:rPr>
          <w:b/>
          <w:bCs/>
        </w:rPr>
      </w:pPr>
      <w:r>
        <w:rPr>
          <w:b/>
          <w:bCs/>
        </w:rPr>
        <w:t>Fig</w:t>
      </w:r>
      <w:r w:rsidR="00F70847" w:rsidRPr="00F70847">
        <w:rPr>
          <w:b/>
          <w:bCs/>
        </w:rPr>
        <w:t>. 5.</w:t>
      </w:r>
      <w:r w:rsidR="006A274B">
        <w:rPr>
          <w:b/>
          <w:bCs/>
        </w:rPr>
        <w:t>6</w:t>
      </w:r>
      <w:r w:rsidR="00F70847" w:rsidRPr="00F70847">
        <w:rPr>
          <w:b/>
          <w:bCs/>
        </w:rPr>
        <w:t xml:space="preserve"> Quando valutate un nuovo mercato l’attenzione alla sostenibilità dei potenziali clienti rientra tra le variabili </w:t>
      </w:r>
      <w:r w:rsidR="003A64B9">
        <w:rPr>
          <w:b/>
          <w:bCs/>
        </w:rPr>
        <w:t>considerate</w:t>
      </w:r>
      <w:r w:rsidR="00F70847" w:rsidRPr="00F70847">
        <w:rPr>
          <w:b/>
          <w:bCs/>
        </w:rPr>
        <w:t>?</w:t>
      </w:r>
      <w:r w:rsidR="003A64B9">
        <w:rPr>
          <w:b/>
          <w:bCs/>
        </w:rPr>
        <w:t xml:space="preserve"> (val. % al netto delle non risposte)</w:t>
      </w:r>
    </w:p>
    <w:p w14:paraId="0C6A9EFD" w14:textId="129A6E0C" w:rsidR="00F70847" w:rsidRDefault="003A64B9" w:rsidP="008A0566">
      <w:pPr>
        <w:jc w:val="both"/>
      </w:pPr>
      <w:r>
        <w:rPr>
          <w:noProof/>
        </w:rPr>
        <w:drawing>
          <wp:inline distT="0" distB="0" distL="0" distR="0" wp14:anchorId="497C6F3E" wp14:editId="4FA7F078">
            <wp:extent cx="6105525" cy="2514600"/>
            <wp:effectExtent l="0" t="0" r="0" b="0"/>
            <wp:docPr id="646666880" name="Grafico 1">
              <a:extLst xmlns:a="http://schemas.openxmlformats.org/drawingml/2006/main">
                <a:ext uri="{FF2B5EF4-FFF2-40B4-BE49-F238E27FC236}">
                  <a16:creationId xmlns:a16="http://schemas.microsoft.com/office/drawing/2014/main" id="{6937086D-8362-2D7C-161A-1AC107815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E7EFE1" w14:textId="77777777" w:rsidR="00F70847" w:rsidRDefault="00F70847" w:rsidP="00F70847">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17A13891" w14:textId="77777777" w:rsidR="0058430D" w:rsidRPr="00E06007" w:rsidRDefault="0058430D" w:rsidP="00F70847">
      <w:pPr>
        <w:jc w:val="both"/>
      </w:pPr>
    </w:p>
    <w:p w14:paraId="4533A9E1" w14:textId="349ACB31" w:rsidR="00A1274A" w:rsidRPr="00620642" w:rsidRDefault="00D60F23" w:rsidP="00620642">
      <w:pPr>
        <w:jc w:val="both"/>
      </w:pPr>
      <w:r w:rsidRPr="00620642">
        <w:t xml:space="preserve">Nella scelta dei </w:t>
      </w:r>
      <w:r w:rsidR="00E42FEA">
        <w:t>P</w:t>
      </w:r>
      <w:r w:rsidRPr="00620642">
        <w:t xml:space="preserve">aesi target per l’internazionalizzazione l’aspetto più importante </w:t>
      </w:r>
      <w:r w:rsidR="00502821" w:rsidRPr="00620642">
        <w:t xml:space="preserve">riguarda le opportunità legate alla </w:t>
      </w:r>
      <w:r w:rsidR="00502821" w:rsidRPr="00B7501D">
        <w:t>sostenibilità in termini di ricettività del mercat</w:t>
      </w:r>
      <w:r w:rsidR="004379AB" w:rsidRPr="00B7501D">
        <w:t xml:space="preserve">o: viene </w:t>
      </w:r>
      <w:r w:rsidR="00620642" w:rsidRPr="00B7501D">
        <w:t>considerato molto o moltissimo importante dal 4</w:t>
      </w:r>
      <w:r w:rsidR="004379AB" w:rsidRPr="00B7501D">
        <w:t>9,4% d</w:t>
      </w:r>
      <w:r w:rsidR="00620642" w:rsidRPr="00B7501D">
        <w:t xml:space="preserve">elle imprese. </w:t>
      </w:r>
      <w:r w:rsidR="00E16FAB" w:rsidRPr="00B7501D">
        <w:t>Al secondo posto si colloca la disponibilità di fornitori o partner commerciali attenti alla sostenibilità (</w:t>
      </w:r>
      <w:r w:rsidR="00311D82" w:rsidRPr="00B7501D">
        <w:t xml:space="preserve">46%), al terzo </w:t>
      </w:r>
      <w:r w:rsidR="00690139" w:rsidRPr="00B7501D">
        <w:t xml:space="preserve">le opportunità legate alla sostenibilità in termini di facilità di investimento (42,7%). Chiude l’elenco </w:t>
      </w:r>
      <w:r w:rsidR="004F7234" w:rsidRPr="00B7501D">
        <w:t>l’aspetto legato ai limiti derivanti dalla</w:t>
      </w:r>
      <w:r w:rsidR="004F7234" w:rsidRPr="004F7234">
        <w:t xml:space="preserve"> presenza di politiche o regolamenti governativi sulla sostenibilità ambientale</w:t>
      </w:r>
      <w:r w:rsidR="004F7234">
        <w:t xml:space="preserve"> (</w:t>
      </w:r>
      <w:r w:rsidR="009C39EC">
        <w:t>38,8%).</w:t>
      </w:r>
    </w:p>
    <w:p w14:paraId="76C587F7" w14:textId="77777777" w:rsidR="00A1274A" w:rsidRDefault="00A1274A" w:rsidP="00620642">
      <w:pPr>
        <w:jc w:val="both"/>
      </w:pPr>
    </w:p>
    <w:p w14:paraId="450E85D3" w14:textId="531F9C16" w:rsidR="00A1274A" w:rsidRDefault="0058430D" w:rsidP="00A1274A">
      <w:pPr>
        <w:rPr>
          <w:b/>
          <w:bCs/>
        </w:rPr>
      </w:pPr>
      <w:r>
        <w:rPr>
          <w:b/>
          <w:bCs/>
        </w:rPr>
        <w:t>Fig</w:t>
      </w:r>
      <w:r w:rsidR="00A1274A">
        <w:rPr>
          <w:b/>
          <w:bCs/>
        </w:rPr>
        <w:t>. 5.</w:t>
      </w:r>
      <w:r w:rsidR="006A274B">
        <w:rPr>
          <w:b/>
          <w:bCs/>
        </w:rPr>
        <w:t>7</w:t>
      </w:r>
      <w:r w:rsidR="00A1274A">
        <w:rPr>
          <w:b/>
          <w:bCs/>
        </w:rPr>
        <w:t xml:space="preserve"> - </w:t>
      </w:r>
      <w:r w:rsidR="00A1274A" w:rsidRPr="00873C17">
        <w:rPr>
          <w:b/>
          <w:bCs/>
        </w:rPr>
        <w:t>Nella scelta dei paesi target di internazionalizzazione, quanto importanti sono i seguenti aspetti?</w:t>
      </w:r>
      <w:r w:rsidR="00A1274A">
        <w:rPr>
          <w:b/>
          <w:bCs/>
        </w:rPr>
        <w:t xml:space="preserve"> (val. % al netto delle non risposte)  </w:t>
      </w:r>
    </w:p>
    <w:p w14:paraId="5930C080" w14:textId="77777777" w:rsidR="00A1274A" w:rsidRDefault="00A1274A" w:rsidP="00A1274A">
      <w:pPr>
        <w:rPr>
          <w:b/>
          <w:bCs/>
        </w:rPr>
      </w:pPr>
      <w:r>
        <w:rPr>
          <w:noProof/>
        </w:rPr>
        <w:drawing>
          <wp:inline distT="0" distB="0" distL="0" distR="0" wp14:anchorId="7BE523EC" wp14:editId="3FD5F646">
            <wp:extent cx="6310312" cy="2571750"/>
            <wp:effectExtent l="0" t="0" r="0" b="0"/>
            <wp:docPr id="736985764" name="Grafico 1">
              <a:extLst xmlns:a="http://schemas.openxmlformats.org/drawingml/2006/main">
                <a:ext uri="{FF2B5EF4-FFF2-40B4-BE49-F238E27FC236}">
                  <a16:creationId xmlns:a16="http://schemas.microsoft.com/office/drawing/2014/main" id="{1EBE8B15-A41D-FF90-CAEA-F10A65928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55C7F7" w14:textId="77777777" w:rsidR="00A1274A" w:rsidRPr="009A6F7D" w:rsidRDefault="00A1274A" w:rsidP="00A1274A">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29CB63DC" w14:textId="77777777" w:rsidR="00A1274A" w:rsidRDefault="00A1274A" w:rsidP="008A0566">
      <w:pPr>
        <w:jc w:val="both"/>
      </w:pPr>
    </w:p>
    <w:p w14:paraId="630E086E" w14:textId="18FF098B" w:rsidR="00530130" w:rsidRDefault="00F13A2C" w:rsidP="008A0566">
      <w:pPr>
        <w:jc w:val="both"/>
      </w:pPr>
      <w:r>
        <w:t>T</w:t>
      </w:r>
      <w:r w:rsidR="00A15FC3">
        <w:t>ra le difficoltà incontrate nell’</w:t>
      </w:r>
      <w:r w:rsidR="00AA0C9C">
        <w:t xml:space="preserve">investire per promuovere la sostenibilità come parte del processo di </w:t>
      </w:r>
      <w:r w:rsidR="00AA0C9C" w:rsidRPr="00F13A2C">
        <w:t>internazionalizza</w:t>
      </w:r>
      <w:r w:rsidR="00A15FC3" w:rsidRPr="00F13A2C">
        <w:t xml:space="preserve">zione, la prima </w:t>
      </w:r>
      <w:r w:rsidR="00AA0C9C" w:rsidRPr="00F13A2C">
        <w:t xml:space="preserve">segnalata </w:t>
      </w:r>
      <w:r w:rsidR="0085377B" w:rsidRPr="00F13A2C">
        <w:t>dall</w:t>
      </w:r>
      <w:r w:rsidR="0085377B" w:rsidRPr="00700ED6">
        <w:t>e</w:t>
      </w:r>
      <w:r w:rsidR="00AA0C9C">
        <w:t xml:space="preserve"> imprese risulta essere i</w:t>
      </w:r>
      <w:r w:rsidR="0039342B">
        <w:t>l</w:t>
      </w:r>
      <w:r w:rsidR="00AA0C9C">
        <w:t xml:space="preserve"> c</w:t>
      </w:r>
      <w:r w:rsidR="00AA0C9C" w:rsidRPr="009E5335">
        <w:t>ost</w:t>
      </w:r>
      <w:r w:rsidR="0039342B">
        <w:t>o</w:t>
      </w:r>
      <w:r w:rsidR="00AA0C9C" w:rsidRPr="009E5335">
        <w:t xml:space="preserve"> eccessiv</w:t>
      </w:r>
      <w:r w:rsidR="0039342B">
        <w:t>o</w:t>
      </w:r>
      <w:r w:rsidR="00AA0C9C" w:rsidRPr="009E5335">
        <w:t xml:space="preserve"> a fronte di un ritorno economico incerto o non chiaramente quantificabile</w:t>
      </w:r>
      <w:r w:rsidR="00AA0C9C">
        <w:t xml:space="preserve"> (38,3% del totale, 49,4% tra le imprese con ricavi compresi tra 25 e 50 milioni).</w:t>
      </w:r>
      <w:r w:rsidR="004501E0">
        <w:t xml:space="preserve"> La necessità di doversi confrontare con normative sulla sostenibilità non chiare nel </w:t>
      </w:r>
      <w:r w:rsidR="00A15FC3">
        <w:t>P</w:t>
      </w:r>
      <w:r w:rsidR="004501E0">
        <w:t>aese target del p</w:t>
      </w:r>
      <w:r w:rsidR="007900C7">
        <w:t xml:space="preserve">rocesso di internazionalizzazione è segnalata da un’impresa su quattro (24,7%, ma da una su tre tra quelle con dimensione maggiore). </w:t>
      </w:r>
      <w:r w:rsidR="00110598">
        <w:t>Al terzo posto si colloca il ritorno economico troppo lento nel tempo se proporzionato ai costi sostenuti nel breve periodo</w:t>
      </w:r>
      <w:r w:rsidR="00A15FC3">
        <w:t xml:space="preserve">: </w:t>
      </w:r>
      <w:r w:rsidR="00110598">
        <w:t xml:space="preserve">22,2% con un picco del 35,3% tra le imprese oltre i 50 milioni di </w:t>
      </w:r>
      <w:r w:rsidR="0085377B" w:rsidRPr="00700ED6">
        <w:t>euro</w:t>
      </w:r>
      <w:r w:rsidR="00110598">
        <w:t xml:space="preserve"> di fatturato. </w:t>
      </w:r>
      <w:r w:rsidR="009F0CF4">
        <w:t>Il 21,4% segnala, come problema, il fatto che le preferenze sulla sostenibilità da parte dei clienti esteri non siano</w:t>
      </w:r>
      <w:r w:rsidR="004C57CB">
        <w:t xml:space="preserve"> </w:t>
      </w:r>
      <w:r w:rsidR="009F0CF4">
        <w:t>ben esplicitate</w:t>
      </w:r>
      <w:r w:rsidR="00FA0687">
        <w:t xml:space="preserve">, un problema che sembra riguardare soprattutto le imprese “medie”, quelle con un fatturato tra i 10 e i 25 milioni. </w:t>
      </w:r>
      <w:r w:rsidR="00E56B65">
        <w:t xml:space="preserve"> Un’impresa su cinque segnala come problema la mancanza o</w:t>
      </w:r>
      <w:r w:rsidR="004C57CB">
        <w:t xml:space="preserve"> </w:t>
      </w:r>
      <w:r w:rsidR="00E56B65" w:rsidRPr="00F13A2C">
        <w:t xml:space="preserve">difficolta </w:t>
      </w:r>
      <w:r w:rsidR="004C57CB" w:rsidRPr="00F13A2C">
        <w:t xml:space="preserve">ad accedere agli incentivi pubblici o altre risorse esterne per aiutare gli investimenti in sostenibilità. </w:t>
      </w:r>
      <w:r w:rsidR="00120F81" w:rsidRPr="00F13A2C">
        <w:t>Anche in questo caso sono le imprese di dimensioni medie quelle più interessate dal fenomeno (</w:t>
      </w:r>
      <w:r w:rsidR="00530130" w:rsidRPr="00F13A2C">
        <w:t>25,5%).</w:t>
      </w:r>
      <w:r w:rsidR="007E094C" w:rsidRPr="00F13A2C">
        <w:t xml:space="preserve"> </w:t>
      </w:r>
      <w:r w:rsidR="00530130" w:rsidRPr="00F13A2C">
        <w:t xml:space="preserve">Va poi segnalato che il 16,4% delle imprese dichiara </w:t>
      </w:r>
      <w:r w:rsidR="004C57CB" w:rsidRPr="00F13A2C">
        <w:t>di non avere incontrato difficoltà nell’</w:t>
      </w:r>
      <w:r w:rsidR="00530130" w:rsidRPr="00F13A2C">
        <w:t>integrare la sostenibilità nel processo di internazionalizzazione.</w:t>
      </w:r>
      <w:r w:rsidR="00530130">
        <w:t xml:space="preserve"> </w:t>
      </w:r>
    </w:p>
    <w:p w14:paraId="6631DB9F" w14:textId="77777777" w:rsidR="00423BEC" w:rsidRDefault="00423BEC" w:rsidP="008A0566">
      <w:pPr>
        <w:jc w:val="both"/>
      </w:pPr>
    </w:p>
    <w:p w14:paraId="4F78C7E4" w14:textId="4F560939" w:rsidR="00A0716F" w:rsidRPr="00BD6B38" w:rsidRDefault="006A274B" w:rsidP="00A0716F">
      <w:pPr>
        <w:jc w:val="both"/>
        <w:rPr>
          <w:rFonts w:ascii="Arial" w:eastAsia="Times New Roman" w:hAnsi="Arial" w:cs="Arial"/>
          <w:b/>
          <w:bCs/>
          <w:color w:val="000000"/>
          <w:kern w:val="0"/>
          <w:sz w:val="20"/>
          <w:szCs w:val="20"/>
          <w:lang w:eastAsia="it-IT"/>
          <w14:ligatures w14:val="none"/>
        </w:rPr>
      </w:pPr>
      <w:r>
        <w:rPr>
          <w:b/>
          <w:bCs/>
        </w:rPr>
        <w:t>Fig</w:t>
      </w:r>
      <w:r w:rsidR="00A0716F">
        <w:rPr>
          <w:b/>
          <w:bCs/>
        </w:rPr>
        <w:t>.</w:t>
      </w:r>
      <w:r>
        <w:rPr>
          <w:b/>
          <w:bCs/>
        </w:rPr>
        <w:t xml:space="preserve"> </w:t>
      </w:r>
      <w:r w:rsidR="00A0716F" w:rsidRPr="00BD6B38">
        <w:rPr>
          <w:b/>
          <w:bCs/>
        </w:rPr>
        <w:t>5.</w:t>
      </w:r>
      <w:r>
        <w:rPr>
          <w:b/>
          <w:bCs/>
        </w:rPr>
        <w:t>8</w:t>
      </w:r>
      <w:r w:rsidR="0058430D">
        <w:rPr>
          <w:b/>
          <w:bCs/>
        </w:rPr>
        <w:t xml:space="preserve"> -</w:t>
      </w:r>
      <w:r w:rsidR="00A0716F" w:rsidRPr="00BD6B38">
        <w:rPr>
          <w:rFonts w:ascii="Arial" w:hAnsi="Arial" w:cs="Arial"/>
          <w:b/>
          <w:bCs/>
          <w:color w:val="000000"/>
          <w:sz w:val="20"/>
          <w:szCs w:val="20"/>
        </w:rPr>
        <w:t xml:space="preserve"> </w:t>
      </w:r>
      <w:r w:rsidR="00A0716F">
        <w:rPr>
          <w:rFonts w:ascii="Arial" w:eastAsia="Times New Roman" w:hAnsi="Arial" w:cs="Arial"/>
          <w:b/>
          <w:bCs/>
          <w:color w:val="000000"/>
          <w:kern w:val="0"/>
          <w:sz w:val="20"/>
          <w:szCs w:val="20"/>
          <w:lang w:eastAsia="it-IT"/>
          <w14:ligatures w14:val="none"/>
        </w:rPr>
        <w:t>Difficoltà incontrate nel promuovere la sostenibilità</w:t>
      </w:r>
      <w:r w:rsidR="0012198F">
        <w:rPr>
          <w:rFonts w:ascii="Arial" w:eastAsia="Times New Roman" w:hAnsi="Arial" w:cs="Arial"/>
          <w:b/>
          <w:bCs/>
          <w:color w:val="000000"/>
          <w:kern w:val="0"/>
          <w:sz w:val="20"/>
          <w:szCs w:val="20"/>
          <w:lang w:eastAsia="it-IT"/>
          <w14:ligatures w14:val="none"/>
        </w:rPr>
        <w:t xml:space="preserve"> come parte del processo di internazionalizzazione dell’impresa </w:t>
      </w:r>
      <w:r w:rsidR="00A0716F">
        <w:rPr>
          <w:rFonts w:ascii="Arial" w:eastAsia="Times New Roman" w:hAnsi="Arial" w:cs="Arial"/>
          <w:b/>
          <w:bCs/>
          <w:color w:val="000000"/>
          <w:kern w:val="0"/>
          <w:sz w:val="20"/>
          <w:szCs w:val="20"/>
          <w:lang w:eastAsia="it-IT"/>
          <w14:ligatures w14:val="none"/>
        </w:rPr>
        <w:t>(val % al netto delle non risposte</w:t>
      </w:r>
      <w:r w:rsidR="00950106">
        <w:rPr>
          <w:rFonts w:ascii="Arial" w:eastAsia="Times New Roman" w:hAnsi="Arial" w:cs="Arial"/>
          <w:b/>
          <w:bCs/>
          <w:color w:val="000000"/>
          <w:kern w:val="0"/>
          <w:sz w:val="20"/>
          <w:szCs w:val="20"/>
          <w:lang w:eastAsia="it-IT"/>
          <w14:ligatures w14:val="none"/>
        </w:rPr>
        <w:t xml:space="preserve"> per classe dimensionale</w:t>
      </w:r>
      <w:r w:rsidR="00A0716F">
        <w:rPr>
          <w:rFonts w:ascii="Arial" w:eastAsia="Times New Roman" w:hAnsi="Arial" w:cs="Arial"/>
          <w:b/>
          <w:bCs/>
          <w:color w:val="000000"/>
          <w:kern w:val="0"/>
          <w:sz w:val="20"/>
          <w:szCs w:val="20"/>
          <w:lang w:eastAsia="it-IT"/>
          <w14:ligatures w14:val="none"/>
        </w:rPr>
        <w:t>)</w:t>
      </w:r>
    </w:p>
    <w:p w14:paraId="0A6566FC" w14:textId="3EEAF331" w:rsidR="006060AC" w:rsidRDefault="006060AC" w:rsidP="00A47174">
      <w:pPr>
        <w:jc w:val="both"/>
        <w:rPr>
          <w:sz w:val="18"/>
          <w:szCs w:val="18"/>
        </w:rPr>
      </w:pPr>
      <w:r>
        <w:rPr>
          <w:noProof/>
        </w:rPr>
        <w:drawing>
          <wp:inline distT="0" distB="0" distL="0" distR="0" wp14:anchorId="56806DD9" wp14:editId="5750C8E3">
            <wp:extent cx="6120130" cy="2793365"/>
            <wp:effectExtent l="0" t="0" r="0" b="6985"/>
            <wp:docPr id="143026511" name="Grafico 1">
              <a:extLst xmlns:a="http://schemas.openxmlformats.org/drawingml/2006/main">
                <a:ext uri="{FF2B5EF4-FFF2-40B4-BE49-F238E27FC236}">
                  <a16:creationId xmlns:a16="http://schemas.microsoft.com/office/drawing/2014/main" id="{30917439-8753-0CFE-64A9-93B2AC1EF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0F0073" w14:textId="27C9F915" w:rsidR="00A47174" w:rsidRPr="009A6F7D" w:rsidRDefault="00A47174" w:rsidP="00A47174">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7A3251BE" w14:textId="77777777" w:rsidR="001508AE" w:rsidRDefault="001508AE" w:rsidP="005A3DBE">
      <w:pPr>
        <w:jc w:val="both"/>
      </w:pPr>
    </w:p>
    <w:p w14:paraId="7AA63539" w14:textId="5497A3B4" w:rsidR="002711B7" w:rsidRDefault="001508AE" w:rsidP="005A3DBE">
      <w:pPr>
        <w:jc w:val="both"/>
      </w:pPr>
      <w:r>
        <w:t xml:space="preserve">Per quanto concerne invece l’interesse </w:t>
      </w:r>
      <w:r w:rsidRPr="00F50A9C">
        <w:t xml:space="preserve">da parte </w:t>
      </w:r>
      <w:r w:rsidR="005A3DBE" w:rsidRPr="00F50A9C">
        <w:t>d</w:t>
      </w:r>
      <w:r w:rsidR="004C57CB" w:rsidRPr="00F50A9C">
        <w:t xml:space="preserve">i investitori, partner finanziari, attori del sistema creditizio, </w:t>
      </w:r>
      <w:r w:rsidR="005A3DBE" w:rsidRPr="00F50A9C">
        <w:t xml:space="preserve">va </w:t>
      </w:r>
      <w:r w:rsidR="00755831" w:rsidRPr="00F50A9C">
        <w:t>sottolineato</w:t>
      </w:r>
      <w:r w:rsidR="005A3DBE" w:rsidRPr="00F50A9C">
        <w:t xml:space="preserve"> che </w:t>
      </w:r>
      <w:r w:rsidRPr="00F50A9C">
        <w:t xml:space="preserve">nel caso di imprese con fatturato superiore ai 50 milioni di </w:t>
      </w:r>
      <w:r w:rsidR="00631182" w:rsidRPr="00F50A9C">
        <w:t>euro</w:t>
      </w:r>
      <w:r w:rsidRPr="00F50A9C">
        <w:t xml:space="preserve"> più di un’impresa su due</w:t>
      </w:r>
      <w:r w:rsidR="005A3DBE" w:rsidRPr="00F50A9C">
        <w:t xml:space="preserve"> (61,4%)</w:t>
      </w:r>
      <w:r w:rsidRPr="00F50A9C">
        <w:t xml:space="preserve"> è stata destinataria di richiest</w:t>
      </w:r>
      <w:r w:rsidR="00321765" w:rsidRPr="00F50A9C">
        <w:t xml:space="preserve">e relative alle proprie politiche e </w:t>
      </w:r>
      <w:r w:rsidRPr="00F50A9C">
        <w:t>performance di sostenibilit</w:t>
      </w:r>
      <w:r w:rsidR="00321765" w:rsidRPr="00F50A9C">
        <w:t xml:space="preserve">à (rating, rendicontazione ambientale, certificazioni). </w:t>
      </w:r>
      <w:r w:rsidR="00755831" w:rsidRPr="00F50A9C">
        <w:t xml:space="preserve">La percentuale scende fino al 16,7% segnalato dalle imprese con meno di due milioni di </w:t>
      </w:r>
      <w:r w:rsidR="00356E21" w:rsidRPr="00F50A9C">
        <w:t>euro</w:t>
      </w:r>
      <w:r w:rsidR="00755831" w:rsidRPr="00F50A9C">
        <w:t xml:space="preserve"> di fatturato.</w:t>
      </w:r>
      <w:r w:rsidR="00755831">
        <w:t xml:space="preserve"> </w:t>
      </w:r>
    </w:p>
    <w:p w14:paraId="4F028290" w14:textId="77777777" w:rsidR="003C2308" w:rsidRDefault="003C2308" w:rsidP="001508AE"/>
    <w:p w14:paraId="2EF4D250" w14:textId="77777777" w:rsidR="00A95882" w:rsidRDefault="00A95882" w:rsidP="001508AE"/>
    <w:p w14:paraId="13357EF8" w14:textId="77777777" w:rsidR="00F50A9C" w:rsidRDefault="00F50A9C" w:rsidP="001508AE"/>
    <w:p w14:paraId="77113559" w14:textId="77777777" w:rsidR="00F50A9C" w:rsidRDefault="00F50A9C" w:rsidP="001508AE"/>
    <w:p w14:paraId="16204B48" w14:textId="77777777" w:rsidR="00F50A9C" w:rsidRDefault="00F50A9C" w:rsidP="001508AE"/>
    <w:p w14:paraId="7BCBE021" w14:textId="4551B95B" w:rsidR="000E32D6" w:rsidRDefault="0058430D" w:rsidP="001508AE">
      <w:pPr>
        <w:rPr>
          <w:b/>
          <w:bCs/>
        </w:rPr>
      </w:pPr>
      <w:r>
        <w:rPr>
          <w:b/>
          <w:bCs/>
        </w:rPr>
        <w:lastRenderedPageBreak/>
        <w:t>Fig</w:t>
      </w:r>
      <w:r w:rsidR="002F719A">
        <w:rPr>
          <w:b/>
          <w:bCs/>
        </w:rPr>
        <w:t>.</w:t>
      </w:r>
      <w:r w:rsidR="002C4A0E">
        <w:rPr>
          <w:b/>
          <w:bCs/>
        </w:rPr>
        <w:t xml:space="preserve"> </w:t>
      </w:r>
      <w:r w:rsidR="002F719A">
        <w:rPr>
          <w:b/>
          <w:bCs/>
        </w:rPr>
        <w:t>5.</w:t>
      </w:r>
      <w:r w:rsidR="006A274B">
        <w:rPr>
          <w:b/>
          <w:bCs/>
        </w:rPr>
        <w:t>9</w:t>
      </w:r>
      <w:r w:rsidR="0041359A">
        <w:rPr>
          <w:b/>
          <w:bCs/>
        </w:rPr>
        <w:t xml:space="preserve"> </w:t>
      </w:r>
      <w:r w:rsidR="00CA412E">
        <w:rPr>
          <w:b/>
          <w:bCs/>
        </w:rPr>
        <w:t>–</w:t>
      </w:r>
      <w:r w:rsidR="002C4A0E">
        <w:rPr>
          <w:b/>
          <w:bCs/>
        </w:rPr>
        <w:t xml:space="preserve"> H</w:t>
      </w:r>
      <w:r w:rsidR="002C4A0E" w:rsidRPr="002C4A0E">
        <w:rPr>
          <w:b/>
          <w:bCs/>
        </w:rPr>
        <w:t>a mai ricevuto richieste da investitori, partner finanziari, attori del sistema creditizio riguardo alle politiche e alle performance di sostenibilità dell</w:t>
      </w:r>
      <w:r w:rsidR="00CA412E">
        <w:rPr>
          <w:b/>
          <w:bCs/>
        </w:rPr>
        <w:t>’</w:t>
      </w:r>
      <w:r w:rsidR="002C4A0E" w:rsidRPr="002C4A0E">
        <w:rPr>
          <w:b/>
          <w:bCs/>
        </w:rPr>
        <w:t>impresa?</w:t>
      </w:r>
      <w:r w:rsidR="00E578BC" w:rsidRPr="00E578BC">
        <w:rPr>
          <w:b/>
          <w:bCs/>
        </w:rPr>
        <w:t xml:space="preserve"> </w:t>
      </w:r>
      <w:r w:rsidR="00E578BC">
        <w:rPr>
          <w:b/>
          <w:bCs/>
        </w:rPr>
        <w:t>(val %</w:t>
      </w:r>
      <w:r w:rsidR="00755831">
        <w:rPr>
          <w:b/>
          <w:bCs/>
        </w:rPr>
        <w:t xml:space="preserve"> al netto delle non risposte</w:t>
      </w:r>
      <w:r w:rsidR="00950106">
        <w:rPr>
          <w:b/>
          <w:bCs/>
        </w:rPr>
        <w:t xml:space="preserve"> per classe dimensionale</w:t>
      </w:r>
      <w:r w:rsidR="00E578BC">
        <w:rPr>
          <w:b/>
          <w:bCs/>
        </w:rPr>
        <w:t>)</w:t>
      </w:r>
    </w:p>
    <w:p w14:paraId="6CBAAAE2" w14:textId="6C9DDEC9" w:rsidR="001508AE" w:rsidRDefault="001508AE" w:rsidP="001508AE">
      <w:pPr>
        <w:rPr>
          <w:b/>
          <w:bCs/>
        </w:rPr>
      </w:pPr>
      <w:r>
        <w:rPr>
          <w:noProof/>
        </w:rPr>
        <w:drawing>
          <wp:inline distT="0" distB="0" distL="0" distR="0" wp14:anchorId="7F78AAD9" wp14:editId="4948DB00">
            <wp:extent cx="6048375" cy="2636874"/>
            <wp:effectExtent l="0" t="0" r="0" b="0"/>
            <wp:docPr id="274502503" name="Grafico 1">
              <a:extLst xmlns:a="http://schemas.openxmlformats.org/drawingml/2006/main">
                <a:ext uri="{FF2B5EF4-FFF2-40B4-BE49-F238E27FC236}">
                  <a16:creationId xmlns:a16="http://schemas.microsoft.com/office/drawing/2014/main" id="{A5D7665D-1756-4B9A-ABDF-C1F644896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3DDB5B" w14:textId="77777777" w:rsidR="00755831" w:rsidRPr="009A6F7D" w:rsidRDefault="00755831" w:rsidP="00755831">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19C2322F" w14:textId="77777777" w:rsidR="001508AE" w:rsidRPr="00487B85" w:rsidRDefault="001508AE" w:rsidP="001508AE"/>
    <w:p w14:paraId="643AE368" w14:textId="1016FA0B" w:rsidR="00B944D5" w:rsidRPr="00742373" w:rsidRDefault="00487B85" w:rsidP="00711B21">
      <w:pPr>
        <w:spacing w:line="240" w:lineRule="auto"/>
        <w:jc w:val="both"/>
        <w:rPr>
          <w:rFonts w:ascii="Arial" w:eastAsia="Times New Roman" w:hAnsi="Arial" w:cs="Arial"/>
          <w:color w:val="000000"/>
          <w:kern w:val="0"/>
          <w:sz w:val="20"/>
          <w:szCs w:val="20"/>
          <w:lang w:eastAsia="it-IT"/>
          <w14:ligatures w14:val="none"/>
        </w:rPr>
      </w:pPr>
      <w:r w:rsidRPr="00487B85">
        <w:t xml:space="preserve">Sempre rimanendo al rapporto tra imprese </w:t>
      </w:r>
      <w:proofErr w:type="gramStart"/>
      <w:r w:rsidRPr="00487B85">
        <w:t>a</w:t>
      </w:r>
      <w:proofErr w:type="gramEnd"/>
      <w:r w:rsidRPr="00487B85">
        <w:t xml:space="preserve"> attori del mondo della finanza, si rileva che </w:t>
      </w:r>
      <w:r w:rsidR="00054E1C">
        <w:t>un’impresa su quattro (24,6%) ha riscontrato difficoltà nell’ottenere le risorse finanziarie necessarie per implementare politiche sostenibili</w:t>
      </w:r>
      <w:r w:rsidR="006E4B43">
        <w:t xml:space="preserve"> nell’ambito della loro strategia di espansione internazionale. </w:t>
      </w:r>
      <w:r w:rsidR="007A4592">
        <w:t xml:space="preserve">Anche in questo caso la dimensione sembra giocare un ruolo rilevante. </w:t>
      </w:r>
      <w:r w:rsidR="00C079BB">
        <w:t xml:space="preserve">Le imprese di dimensioni minori (sotto ai 2 milioni di euro di ricavi) che denunciano difficoltà sono pari al 37,6% del totale, </w:t>
      </w:r>
      <w:r w:rsidR="008E5DE4">
        <w:t xml:space="preserve">una percentuale che scende al 10,8% tra quelle di dimensioni maggiori (sopra i 50 milioni di euro di ricavi). </w:t>
      </w:r>
      <w:r w:rsidR="00B944D5">
        <w:t>Si può leggere</w:t>
      </w:r>
      <w:r w:rsidR="00711B21">
        <w:t>,</w:t>
      </w:r>
      <w:r w:rsidR="00B944D5">
        <w:t xml:space="preserve"> dunque</w:t>
      </w:r>
      <w:r w:rsidR="00711B21">
        <w:t>,</w:t>
      </w:r>
      <w:r w:rsidR="00B944D5">
        <w:t xml:space="preserve"> una fiducia maggiore da parte degli </w:t>
      </w:r>
      <w:r w:rsidR="00B944D5" w:rsidRPr="00F50A9C">
        <w:t>investitor</w:t>
      </w:r>
      <w:r w:rsidR="00321765" w:rsidRPr="00F50A9C">
        <w:t xml:space="preserve">i e sistema creditizio </w:t>
      </w:r>
      <w:r w:rsidR="00B944D5" w:rsidRPr="00F50A9C">
        <w:t>verso le imprese di dimensioni</w:t>
      </w:r>
      <w:r w:rsidR="00B944D5">
        <w:t xml:space="preserve"> </w:t>
      </w:r>
      <w:r w:rsidR="00711B21">
        <w:t>più ampie</w:t>
      </w:r>
      <w:r w:rsidR="00B944D5">
        <w:t>,</w:t>
      </w:r>
      <w:r w:rsidR="00711B21">
        <w:t xml:space="preserve"> un fatto che </w:t>
      </w:r>
      <w:r w:rsidR="00C97440">
        <w:t>potrebbe essere riconducibile</w:t>
      </w:r>
      <w:r w:rsidR="00B944D5">
        <w:t xml:space="preserve"> alla </w:t>
      </w:r>
      <w:r w:rsidR="00C97440">
        <w:t>maggiore</w:t>
      </w:r>
      <w:r w:rsidR="00B944D5">
        <w:t xml:space="preserve"> capacità</w:t>
      </w:r>
      <w:r w:rsidR="00C97440">
        <w:t xml:space="preserve"> di tali imprese</w:t>
      </w:r>
      <w:r w:rsidR="00B944D5">
        <w:t xml:space="preserve"> di interfacciarsi con la tematica della sostenibilità, generata a sua volta </w:t>
      </w:r>
      <w:r w:rsidR="00AE55DC">
        <w:t>dall’abitudine a</w:t>
      </w:r>
      <w:r w:rsidR="00B944D5">
        <w:t xml:space="preserve"> rispettare determinati vincoli forniti oggi dai vari mercati più esigenti </w:t>
      </w:r>
      <w:r w:rsidR="00AE55DC">
        <w:t xml:space="preserve">a livello internazionale </w:t>
      </w:r>
      <w:r w:rsidR="00B944D5">
        <w:t>in tema di sostenibilità.</w:t>
      </w:r>
    </w:p>
    <w:p w14:paraId="58E19D38" w14:textId="4232EE0A" w:rsidR="00873C17" w:rsidRDefault="00873C17" w:rsidP="006E4B43">
      <w:pPr>
        <w:jc w:val="both"/>
        <w:rPr>
          <w:b/>
          <w:bCs/>
        </w:rPr>
      </w:pPr>
    </w:p>
    <w:p w14:paraId="4D11D560" w14:textId="77777777" w:rsidR="007A4592" w:rsidRPr="007A4592" w:rsidRDefault="007A4592" w:rsidP="006E4B43">
      <w:pPr>
        <w:jc w:val="both"/>
        <w:rPr>
          <w:b/>
          <w:bCs/>
        </w:rPr>
      </w:pPr>
    </w:p>
    <w:p w14:paraId="4D4C2B6D" w14:textId="2D725872" w:rsidR="007A4592" w:rsidRPr="007A4592" w:rsidRDefault="0058430D" w:rsidP="006E4B43">
      <w:pPr>
        <w:jc w:val="both"/>
        <w:rPr>
          <w:b/>
          <w:bCs/>
        </w:rPr>
      </w:pPr>
      <w:r>
        <w:rPr>
          <w:b/>
          <w:bCs/>
        </w:rPr>
        <w:t>Fig</w:t>
      </w:r>
      <w:r w:rsidR="007A4592" w:rsidRPr="007A4592">
        <w:rPr>
          <w:b/>
          <w:bCs/>
        </w:rPr>
        <w:t>. 5.</w:t>
      </w:r>
      <w:r w:rsidR="006A274B">
        <w:rPr>
          <w:b/>
          <w:bCs/>
        </w:rPr>
        <w:t>10</w:t>
      </w:r>
      <w:r w:rsidR="007A4592" w:rsidRPr="007A4592">
        <w:rPr>
          <w:b/>
          <w:bCs/>
        </w:rPr>
        <w:t xml:space="preserve"> </w:t>
      </w:r>
      <w:r w:rsidR="00CA412E">
        <w:rPr>
          <w:b/>
          <w:bCs/>
        </w:rPr>
        <w:t>–</w:t>
      </w:r>
      <w:r w:rsidR="007A4592" w:rsidRPr="007A4592">
        <w:rPr>
          <w:b/>
          <w:bCs/>
        </w:rPr>
        <w:t xml:space="preserve"> Avete riscontrato difficoltà nell</w:t>
      </w:r>
      <w:r w:rsidR="00CA412E">
        <w:rPr>
          <w:b/>
          <w:bCs/>
        </w:rPr>
        <w:t>’</w:t>
      </w:r>
      <w:r w:rsidR="007A4592" w:rsidRPr="007A4592">
        <w:rPr>
          <w:b/>
          <w:bCs/>
        </w:rPr>
        <w:t>ottenere le risorse finanziarie necessarie per implementare politiche sostenibili nella vostra espansione internazionale? (val. % al netto delle non risposte</w:t>
      </w:r>
      <w:r w:rsidR="00950106">
        <w:rPr>
          <w:b/>
          <w:bCs/>
        </w:rPr>
        <w:t xml:space="preserve"> per classe dimensionale</w:t>
      </w:r>
      <w:r w:rsidR="007A4592" w:rsidRPr="007A4592">
        <w:rPr>
          <w:b/>
          <w:bCs/>
        </w:rPr>
        <w:t>)</w:t>
      </w:r>
    </w:p>
    <w:p w14:paraId="04C31AE3" w14:textId="6319A51F" w:rsidR="00D603DE" w:rsidRDefault="00356E21" w:rsidP="001508AE">
      <w:pPr>
        <w:rPr>
          <w:b/>
          <w:bCs/>
        </w:rPr>
      </w:pPr>
      <w:r>
        <w:rPr>
          <w:noProof/>
        </w:rPr>
        <w:drawing>
          <wp:inline distT="0" distB="0" distL="0" distR="0" wp14:anchorId="69E07CFC" wp14:editId="0A50EC9E">
            <wp:extent cx="6067425" cy="2405063"/>
            <wp:effectExtent l="0" t="0" r="0" b="0"/>
            <wp:docPr id="2078178820" name="Grafico 1">
              <a:extLst xmlns:a="http://schemas.openxmlformats.org/drawingml/2006/main">
                <a:ext uri="{FF2B5EF4-FFF2-40B4-BE49-F238E27FC236}">
                  <a16:creationId xmlns:a16="http://schemas.microsoft.com/office/drawing/2014/main" id="{5514D4F5-6788-4868-933E-C809B0D48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618C73" w14:textId="77777777" w:rsidR="006E4B43" w:rsidRPr="009A6F7D" w:rsidRDefault="006E4B43" w:rsidP="006E4B43">
      <w:pPr>
        <w:jc w:val="both"/>
        <w:rPr>
          <w:sz w:val="18"/>
          <w:szCs w:val="18"/>
        </w:rPr>
      </w:pPr>
      <w:r w:rsidRPr="009A6F7D">
        <w:rPr>
          <w:sz w:val="18"/>
          <w:szCs w:val="18"/>
        </w:rPr>
        <w:t>Fonte: Fondazione Nord Est (</w:t>
      </w:r>
      <w:r>
        <w:rPr>
          <w:sz w:val="18"/>
          <w:szCs w:val="18"/>
        </w:rPr>
        <w:t>649</w:t>
      </w:r>
      <w:r w:rsidRPr="009A6F7D">
        <w:rPr>
          <w:sz w:val="18"/>
          <w:szCs w:val="18"/>
        </w:rPr>
        <w:t xml:space="preserve"> casi)</w:t>
      </w:r>
    </w:p>
    <w:p w14:paraId="1A45771F" w14:textId="77777777" w:rsidR="00873C17" w:rsidRDefault="00873C17" w:rsidP="001508AE">
      <w:pPr>
        <w:rPr>
          <w:b/>
          <w:bCs/>
        </w:rPr>
      </w:pPr>
    </w:p>
    <w:p w14:paraId="75A84EC1" w14:textId="58723B74" w:rsidR="00634CFE" w:rsidRPr="00F50A9C" w:rsidRDefault="00D66A47" w:rsidP="00B35BE4">
      <w:pPr>
        <w:jc w:val="both"/>
      </w:pPr>
      <w:r w:rsidRPr="00F50A9C">
        <w:t>L’ultima questione posta alle imprese che hanno partecipato alla rilevazione riguarda l</w:t>
      </w:r>
      <w:r w:rsidR="00321765" w:rsidRPr="00F50A9C">
        <w:t xml:space="preserve">e </w:t>
      </w:r>
      <w:r w:rsidRPr="00F50A9C">
        <w:t>sfide che si trovano ad affrontar</w:t>
      </w:r>
      <w:r w:rsidR="00321765" w:rsidRPr="00F50A9C">
        <w:t xml:space="preserve">e </w:t>
      </w:r>
      <w:r w:rsidR="005C7A7C" w:rsidRPr="00F50A9C">
        <w:t xml:space="preserve">quando devono integrare le pratiche sostenibili nella catena di approvvigionamento </w:t>
      </w:r>
      <w:r w:rsidR="00321765" w:rsidRPr="00F50A9C">
        <w:rPr>
          <w:rFonts w:cstheme="minorHAnsi"/>
        </w:rPr>
        <w:t>internazionale</w:t>
      </w:r>
      <w:r w:rsidR="00321765" w:rsidRPr="00F50A9C">
        <w:t xml:space="preserve">. </w:t>
      </w:r>
      <w:r w:rsidR="005B48C6" w:rsidRPr="00F50A9C">
        <w:t>Tra</w:t>
      </w:r>
      <w:r w:rsidR="00B63127" w:rsidRPr="00F50A9C">
        <w:t xml:space="preserve"> </w:t>
      </w:r>
      <w:r w:rsidR="00321765" w:rsidRPr="00F50A9C">
        <w:t xml:space="preserve">le principali sfide </w:t>
      </w:r>
      <w:r w:rsidR="002E1DEC" w:rsidRPr="00F50A9C">
        <w:t xml:space="preserve">il 38,4% </w:t>
      </w:r>
      <w:r w:rsidR="00000500" w:rsidRPr="00F50A9C">
        <w:t>d</w:t>
      </w:r>
      <w:r w:rsidR="005B48C6" w:rsidRPr="00F50A9C">
        <w:t>elle</w:t>
      </w:r>
      <w:r w:rsidR="00000500" w:rsidRPr="00F50A9C">
        <w:t xml:space="preserve"> imprese </w:t>
      </w:r>
      <w:r w:rsidR="005B48C6" w:rsidRPr="00F50A9C">
        <w:t>segnala</w:t>
      </w:r>
      <w:r w:rsidR="00000500" w:rsidRPr="00F50A9C">
        <w:t xml:space="preserve"> al primo posto la difficoltà a monitorare il rispetto dei principi della sostenibilità lungo tutta la catena di approvvigionamento. </w:t>
      </w:r>
      <w:r w:rsidR="00146475" w:rsidRPr="00F50A9C">
        <w:t xml:space="preserve">Al secondo posto si colloca </w:t>
      </w:r>
      <w:r w:rsidR="00EB611E" w:rsidRPr="00F50A9C">
        <w:t>il monitoraggio e la valutazione delle pratiche di sostenibilità dei propri</w:t>
      </w:r>
      <w:r w:rsidR="00B63127" w:rsidRPr="00F50A9C">
        <w:t xml:space="preserve"> </w:t>
      </w:r>
      <w:r w:rsidR="00EB611E" w:rsidRPr="00F50A9C">
        <w:t>fornitori all’estero (35,3%), al</w:t>
      </w:r>
      <w:r w:rsidR="00EB611E">
        <w:t xml:space="preserve"> terzo </w:t>
      </w:r>
      <w:r w:rsidR="00371874">
        <w:t xml:space="preserve">la selezione di fornitori sostenibili (34,5%). </w:t>
      </w:r>
      <w:r w:rsidR="00DF74C9">
        <w:t xml:space="preserve">Con percentuali simili di imprese che lo segnalano si colloca </w:t>
      </w:r>
      <w:r w:rsidR="00E237FA">
        <w:t>la necessità di dover rispondere a</w:t>
      </w:r>
      <w:r w:rsidR="005A0FCE">
        <w:t xml:space="preserve">lle diverse normative dei </w:t>
      </w:r>
      <w:r w:rsidR="00B63127">
        <w:t>P</w:t>
      </w:r>
      <w:r w:rsidR="005A0FCE">
        <w:t>aesi (33,8%)</w:t>
      </w:r>
      <w:r w:rsidR="009801E3">
        <w:t>. Un quarto delle imprese segna</w:t>
      </w:r>
      <w:r w:rsidR="00903B65">
        <w:t xml:space="preserve">la </w:t>
      </w:r>
      <w:r w:rsidR="00903B65" w:rsidRPr="00F50A9C">
        <w:t>come sfida</w:t>
      </w:r>
      <w:r w:rsidR="00B63127" w:rsidRPr="00F50A9C">
        <w:t xml:space="preserve"> quella di declinare </w:t>
      </w:r>
      <w:r w:rsidR="00903B65" w:rsidRPr="00F50A9C">
        <w:t>il concetto di sostenibilit</w:t>
      </w:r>
      <w:r w:rsidR="00DF2F3D" w:rsidRPr="00F50A9C">
        <w:t xml:space="preserve">à ambientale nei diversi contesti operativi. </w:t>
      </w:r>
    </w:p>
    <w:p w14:paraId="50DD0379" w14:textId="3FCA3E5D" w:rsidR="00B35BE4" w:rsidRPr="00B35BE4" w:rsidRDefault="00B35BE4" w:rsidP="00B35BE4">
      <w:pPr>
        <w:jc w:val="both"/>
      </w:pPr>
      <w:r w:rsidRPr="00F50A9C">
        <w:t xml:space="preserve">L’opinione circa le sfide/difficoltà </w:t>
      </w:r>
      <w:r w:rsidR="004C1D5F" w:rsidRPr="00F50A9C">
        <w:t>muta</w:t>
      </w:r>
      <w:r w:rsidRPr="00F50A9C">
        <w:t xml:space="preserve"> tra </w:t>
      </w:r>
      <w:r w:rsidR="004C1D5F" w:rsidRPr="00F50A9C">
        <w:t xml:space="preserve">imprese con </w:t>
      </w:r>
      <w:r w:rsidRPr="00F50A9C">
        <w:t>classi di fatturato</w:t>
      </w:r>
      <w:r w:rsidR="004C1D5F" w:rsidRPr="00F50A9C">
        <w:t xml:space="preserve"> diverse</w:t>
      </w:r>
      <w:r w:rsidRPr="00F50A9C">
        <w:t>. Più in dettaglio</w:t>
      </w:r>
      <w:r w:rsidR="004C1D5F" w:rsidRPr="00F50A9C">
        <w:t>,</w:t>
      </w:r>
      <w:r w:rsidRPr="00F50A9C">
        <w:t xml:space="preserve"> le imprese con minori ricavi, specialmente quelle con valore inferiore ai due milioni di </w:t>
      </w:r>
      <w:r w:rsidR="0085377B" w:rsidRPr="00F50A9C">
        <w:t>euro</w:t>
      </w:r>
      <w:r w:rsidRPr="00F50A9C">
        <w:t>, appaiono meno preoccupate</w:t>
      </w:r>
      <w:r w:rsidRPr="00B35BE4">
        <w:t xml:space="preserve"> o con meno difficoltà nell’integrare le pratiche sostenibili nella catena di approvvigionamento internazionale. Ma è solo </w:t>
      </w:r>
      <w:r w:rsidR="00D249B5">
        <w:t>l’effetto generato dal</w:t>
      </w:r>
      <w:r w:rsidRPr="00B35BE4">
        <w:t xml:space="preserve"> minor tasso di risposta che caratterizza le prime classi di fatturato. Man mano che il fatturato cresce per le imprese risulta particolarmente arduo selezionare i fornitori sostenibili, rispondere alle diverse normative dei </w:t>
      </w:r>
      <w:r w:rsidR="00B63127">
        <w:t>P</w:t>
      </w:r>
      <w:r w:rsidRPr="00B35BE4">
        <w:t xml:space="preserve">aesi, monitorare e valutare le pratiche sostenibili dei fornitori lungo l’intera catena di approvvigionamento. Queste ultime due pratiche risultano particolarmente sfidanti dal punto di vista delle imprese con oltre 50 milioni di </w:t>
      </w:r>
      <w:r w:rsidR="00A4363F" w:rsidRPr="00B35BE4">
        <w:t>euro</w:t>
      </w:r>
      <w:r w:rsidRPr="00B35BE4">
        <w:t xml:space="preserve"> di fatturato. Si possono interpretare questi dati </w:t>
      </w:r>
      <w:r w:rsidR="008B5BBB">
        <w:t>ipotizzando</w:t>
      </w:r>
      <w:r w:rsidRPr="00B35BE4">
        <w:t xml:space="preserve"> che le imprese di maggiori dimensioni siano parte di supply chains molto più internazionali e dunque risulta più difficile monitorare, valutare o anche solo reperire informazioni circa gli impegni dei fornitori in tema di sostenibilità.</w:t>
      </w:r>
    </w:p>
    <w:p w14:paraId="101DBBFA" w14:textId="77777777" w:rsidR="00634CFE" w:rsidRDefault="00634CFE" w:rsidP="00DC774A"/>
    <w:p w14:paraId="48209B5F" w14:textId="77777777" w:rsidR="003C5E74" w:rsidRPr="00B35BE4" w:rsidRDefault="003C5E74" w:rsidP="00DC774A"/>
    <w:p w14:paraId="4521A998" w14:textId="3876F9A5" w:rsidR="00DC774A" w:rsidRPr="00B85508" w:rsidRDefault="00DC774A" w:rsidP="00DC774A">
      <w:pPr>
        <w:rPr>
          <w:rFonts w:ascii="Arial" w:eastAsia="Times New Roman" w:hAnsi="Arial" w:cs="Arial"/>
          <w:b/>
          <w:bCs/>
          <w:color w:val="000000"/>
          <w:kern w:val="0"/>
          <w:sz w:val="20"/>
          <w:szCs w:val="20"/>
          <w:lang w:eastAsia="it-IT"/>
          <w14:ligatures w14:val="none"/>
        </w:rPr>
      </w:pPr>
      <w:r>
        <w:rPr>
          <w:b/>
          <w:bCs/>
        </w:rPr>
        <w:t>Fig</w:t>
      </w:r>
      <w:r w:rsidR="0058430D">
        <w:rPr>
          <w:b/>
          <w:bCs/>
        </w:rPr>
        <w:t>.</w:t>
      </w:r>
      <w:r w:rsidRPr="00BD6B38">
        <w:rPr>
          <w:b/>
          <w:bCs/>
        </w:rPr>
        <w:t xml:space="preserve"> 5.</w:t>
      </w:r>
      <w:r w:rsidR="006A274B">
        <w:rPr>
          <w:b/>
          <w:bCs/>
        </w:rPr>
        <w:t>11</w:t>
      </w:r>
      <w:r w:rsidR="0058430D">
        <w:rPr>
          <w:b/>
          <w:bCs/>
        </w:rPr>
        <w:t xml:space="preserve"> </w:t>
      </w:r>
      <w:r w:rsidR="00CA412E">
        <w:rPr>
          <w:b/>
          <w:bCs/>
        </w:rPr>
        <w:t>–</w:t>
      </w:r>
      <w:r w:rsidRPr="00BD6B38">
        <w:rPr>
          <w:rFonts w:ascii="Arial" w:hAnsi="Arial" w:cs="Arial"/>
          <w:b/>
          <w:bCs/>
          <w:color w:val="000000"/>
          <w:sz w:val="20"/>
          <w:szCs w:val="20"/>
        </w:rPr>
        <w:t xml:space="preserve"> </w:t>
      </w:r>
      <w:r w:rsidRPr="006902C1">
        <w:rPr>
          <w:rFonts w:ascii="Arial" w:eastAsia="Times New Roman" w:hAnsi="Arial" w:cs="Arial"/>
          <w:b/>
          <w:bCs/>
          <w:color w:val="000000"/>
          <w:kern w:val="0"/>
          <w:sz w:val="20"/>
          <w:szCs w:val="20"/>
          <w:lang w:eastAsia="it-IT"/>
          <w14:ligatures w14:val="none"/>
        </w:rPr>
        <w:t>Quali sono le principali sfide nell</w:t>
      </w:r>
      <w:r w:rsidR="00CA412E">
        <w:rPr>
          <w:rFonts w:ascii="Arial" w:eastAsia="Times New Roman" w:hAnsi="Arial" w:cs="Arial"/>
          <w:b/>
          <w:bCs/>
          <w:color w:val="000000"/>
          <w:kern w:val="0"/>
          <w:sz w:val="20"/>
          <w:szCs w:val="20"/>
          <w:lang w:eastAsia="it-IT"/>
          <w14:ligatures w14:val="none"/>
        </w:rPr>
        <w:t>’</w:t>
      </w:r>
      <w:r w:rsidRPr="006902C1">
        <w:rPr>
          <w:rFonts w:ascii="Arial" w:eastAsia="Times New Roman" w:hAnsi="Arial" w:cs="Arial"/>
          <w:b/>
          <w:bCs/>
          <w:color w:val="000000"/>
          <w:kern w:val="0"/>
          <w:sz w:val="20"/>
          <w:szCs w:val="20"/>
          <w:lang w:eastAsia="it-IT"/>
          <w14:ligatures w14:val="none"/>
        </w:rPr>
        <w:t>integrare le pratiche sostenibili nella catena di approvvigionamento internazionale dell</w:t>
      </w:r>
      <w:r w:rsidR="00CA412E">
        <w:rPr>
          <w:rFonts w:ascii="Arial" w:eastAsia="Times New Roman" w:hAnsi="Arial" w:cs="Arial"/>
          <w:b/>
          <w:bCs/>
          <w:color w:val="000000"/>
          <w:kern w:val="0"/>
          <w:sz w:val="20"/>
          <w:szCs w:val="20"/>
          <w:lang w:eastAsia="it-IT"/>
          <w14:ligatures w14:val="none"/>
        </w:rPr>
        <w:t>’</w:t>
      </w:r>
      <w:r w:rsidRPr="006902C1">
        <w:rPr>
          <w:rFonts w:ascii="Arial" w:eastAsia="Times New Roman" w:hAnsi="Arial" w:cs="Arial"/>
          <w:b/>
          <w:bCs/>
          <w:color w:val="000000"/>
          <w:kern w:val="0"/>
          <w:sz w:val="20"/>
          <w:szCs w:val="20"/>
          <w:lang w:eastAsia="it-IT"/>
          <w14:ligatures w14:val="none"/>
        </w:rPr>
        <w:t>impresa?</w:t>
      </w:r>
      <w:r>
        <w:rPr>
          <w:rFonts w:ascii="Arial" w:eastAsia="Times New Roman" w:hAnsi="Arial" w:cs="Arial"/>
          <w:b/>
          <w:bCs/>
          <w:color w:val="000000"/>
          <w:kern w:val="0"/>
          <w:sz w:val="20"/>
          <w:szCs w:val="20"/>
          <w:lang w:eastAsia="it-IT"/>
          <w14:ligatures w14:val="none"/>
        </w:rPr>
        <w:t xml:space="preserve"> (val %</w:t>
      </w:r>
      <w:r w:rsidR="00670277">
        <w:rPr>
          <w:rFonts w:ascii="Arial" w:eastAsia="Times New Roman" w:hAnsi="Arial" w:cs="Arial"/>
          <w:b/>
          <w:bCs/>
          <w:color w:val="000000"/>
          <w:kern w:val="0"/>
          <w:sz w:val="20"/>
          <w:szCs w:val="20"/>
          <w:lang w:eastAsia="it-IT"/>
          <w14:ligatures w14:val="none"/>
        </w:rPr>
        <w:t xml:space="preserve"> per classe dimensionale</w:t>
      </w:r>
      <w:r>
        <w:rPr>
          <w:rFonts w:ascii="Arial" w:eastAsia="Times New Roman" w:hAnsi="Arial" w:cs="Arial"/>
          <w:b/>
          <w:bCs/>
          <w:color w:val="000000"/>
          <w:kern w:val="0"/>
          <w:sz w:val="20"/>
          <w:szCs w:val="20"/>
          <w:lang w:eastAsia="it-IT"/>
          <w14:ligatures w14:val="none"/>
        </w:rPr>
        <w:t>):</w:t>
      </w:r>
    </w:p>
    <w:p w14:paraId="1B6D19A0" w14:textId="57A16C5D" w:rsidR="00CA412E" w:rsidRDefault="00CA412E">
      <w:pPr>
        <w:spacing w:after="160"/>
        <w:rPr>
          <w:sz w:val="18"/>
          <w:szCs w:val="18"/>
        </w:rPr>
      </w:pPr>
      <w:r>
        <w:rPr>
          <w:noProof/>
        </w:rPr>
        <w:drawing>
          <wp:inline distT="0" distB="0" distL="0" distR="0" wp14:anchorId="66C7216C" wp14:editId="171F1E8B">
            <wp:extent cx="6019800" cy="2549770"/>
            <wp:effectExtent l="0" t="0" r="0" b="3175"/>
            <wp:docPr id="1668812256" name="Grafico 1">
              <a:extLst xmlns:a="http://schemas.openxmlformats.org/drawingml/2006/main">
                <a:ext uri="{FF2B5EF4-FFF2-40B4-BE49-F238E27FC236}">
                  <a16:creationId xmlns:a16="http://schemas.microsoft.com/office/drawing/2014/main" id="{818FC684-D904-7D69-2F65-733876CC4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F842F7" w14:textId="65C9A2DE" w:rsidR="00AF4DE8" w:rsidRPr="00537DBD" w:rsidRDefault="00937FA9" w:rsidP="00537DBD">
      <w:pPr>
        <w:spacing w:after="160"/>
        <w:rPr>
          <w:sz w:val="18"/>
          <w:szCs w:val="18"/>
        </w:rPr>
      </w:pPr>
      <w:r w:rsidRPr="00700ED6">
        <w:rPr>
          <w:sz w:val="18"/>
          <w:szCs w:val="18"/>
        </w:rPr>
        <w:t>Fonte: Fondazione Nord Est (649 casi)</w:t>
      </w:r>
    </w:p>
    <w:p w14:paraId="72895B55" w14:textId="77777777" w:rsidR="003C6BAA" w:rsidRDefault="003C6BAA" w:rsidP="00537DBD">
      <w:pPr>
        <w:spacing w:line="240" w:lineRule="auto"/>
      </w:pPr>
    </w:p>
    <w:p w14:paraId="1B8E09F4" w14:textId="3736F2FF" w:rsidR="009D2FE7" w:rsidRDefault="00F50A9C" w:rsidP="00F25390">
      <w:pPr>
        <w:spacing w:line="240" w:lineRule="auto"/>
        <w:jc w:val="both"/>
      </w:pPr>
      <w:proofErr w:type="gramStart"/>
      <w:r>
        <w:t>In conclusione</w:t>
      </w:r>
      <w:proofErr w:type="gramEnd"/>
      <w:r w:rsidR="00472E8E">
        <w:t xml:space="preserve"> </w:t>
      </w:r>
      <w:r w:rsidR="00537DBD">
        <w:t>al capitolo sulla sostenibilità, a</w:t>
      </w:r>
      <w:r w:rsidR="00537DBD" w:rsidRPr="00537DBD">
        <w:t>lle imprese è stato chiest</w:t>
      </w:r>
      <w:r w:rsidR="00537DBD">
        <w:t>o</w:t>
      </w:r>
      <w:r w:rsidR="00537DBD" w:rsidRPr="00537DBD">
        <w:t xml:space="preserve"> di indicare anche quello che ritengono il </w:t>
      </w:r>
      <w:r w:rsidR="00B63127">
        <w:t>P</w:t>
      </w:r>
      <w:r w:rsidR="00537DBD" w:rsidRPr="00537DBD">
        <w:t>aese più interessante per prodotti e servizi sostenibili nei prossimi tre anni. Sono stati elencati 54 paesi</w:t>
      </w:r>
      <w:r w:rsidR="00B63127">
        <w:t xml:space="preserve">, </w:t>
      </w:r>
      <w:r w:rsidR="00537DBD" w:rsidRPr="00537DBD">
        <w:t>ma attorno ai primi tre si addensa più del 50% delle indicazioni. Al primo posto la Germania co</w:t>
      </w:r>
      <w:r w:rsidR="00537DBD">
        <w:t xml:space="preserve">n il </w:t>
      </w:r>
      <w:r w:rsidR="00537DBD" w:rsidRPr="00537DBD">
        <w:t>24,6%, al secondo la Francia (14</w:t>
      </w:r>
      <w:r w:rsidR="00537DBD">
        <w:t>,</w:t>
      </w:r>
      <w:r w:rsidR="00537DBD" w:rsidRPr="00537DBD">
        <w:t>9</w:t>
      </w:r>
      <w:r w:rsidR="00537DBD">
        <w:t>%)</w:t>
      </w:r>
      <w:r w:rsidR="00537DBD" w:rsidRPr="00537DBD">
        <w:t xml:space="preserve"> e </w:t>
      </w:r>
      <w:r w:rsidR="00537DBD">
        <w:t xml:space="preserve">sul terzo gradino </w:t>
      </w:r>
      <w:r w:rsidR="00537DBD" w:rsidRPr="00537DBD">
        <w:t>gli Stati Uniti (11,8%).</w:t>
      </w:r>
    </w:p>
    <w:p w14:paraId="4CB1BFE6" w14:textId="1E2D9A11" w:rsidR="00084AA2" w:rsidRDefault="009D2FE7" w:rsidP="00084AA2">
      <w:pPr>
        <w:spacing w:after="160"/>
      </w:pPr>
      <w:r>
        <w:br w:type="page"/>
      </w:r>
    </w:p>
    <w:p w14:paraId="265E1635" w14:textId="29CB2926" w:rsidR="00084AA2" w:rsidRDefault="00F3648C" w:rsidP="003A036D">
      <w:pPr>
        <w:pStyle w:val="Titolo2"/>
        <w:spacing w:before="0"/>
      </w:pPr>
      <w:bookmarkStart w:id="14" w:name="_Toc157430704"/>
      <w:r>
        <w:lastRenderedPageBreak/>
        <w:t xml:space="preserve">6. </w:t>
      </w:r>
      <w:r w:rsidR="00084AA2">
        <w:t xml:space="preserve">Digitalizzazione: strumento </w:t>
      </w:r>
      <w:r w:rsidR="00A44F34">
        <w:t xml:space="preserve">di internazionalizzazione </w:t>
      </w:r>
      <w:r w:rsidR="00084AA2">
        <w:t>efficace?</w:t>
      </w:r>
      <w:bookmarkEnd w:id="14"/>
    </w:p>
    <w:p w14:paraId="0290AC70" w14:textId="77777777" w:rsidR="00084AA2" w:rsidRDefault="00084AA2" w:rsidP="00F161D7">
      <w:pPr>
        <w:spacing w:line="240" w:lineRule="auto"/>
      </w:pPr>
    </w:p>
    <w:p w14:paraId="0ACD56AF" w14:textId="77777777" w:rsidR="002C4E8C" w:rsidRDefault="002C4E8C" w:rsidP="00F161D7">
      <w:pPr>
        <w:spacing w:line="240" w:lineRule="auto"/>
      </w:pPr>
    </w:p>
    <w:p w14:paraId="79FE205C" w14:textId="2916D165" w:rsidR="00084AA2" w:rsidRDefault="00616CCC" w:rsidP="003A036D">
      <w:pPr>
        <w:jc w:val="both"/>
      </w:pPr>
      <w:r>
        <w:t>Come anticipato nell’</w:t>
      </w:r>
      <w:r w:rsidR="003A036D">
        <w:t>introduzione</w:t>
      </w:r>
      <w:r>
        <w:t>, la digitalizzazione, nelle sue varie forme, può essere considerata come un</w:t>
      </w:r>
      <w:r w:rsidR="003A036D">
        <w:t xml:space="preserve">o strumento che abilita le imprese ad affrontare le sfide dei mercati. </w:t>
      </w:r>
      <w:r w:rsidR="004347FB">
        <w:t>Ma c</w:t>
      </w:r>
      <w:r w:rsidR="003A036D">
        <w:t xml:space="preserve">he rapporto esiste tra digitalizzazione e internazionalizzazione delle imprese? </w:t>
      </w:r>
      <w:r>
        <w:t xml:space="preserve"> </w:t>
      </w:r>
      <w:r w:rsidR="0035156F">
        <w:t>Le risposte fornite dall</w:t>
      </w:r>
      <w:r w:rsidR="00240E8C">
        <w:t>e</w:t>
      </w:r>
      <w:r w:rsidR="0035156F">
        <w:t xml:space="preserve"> aziende manifatturiere intervistate </w:t>
      </w:r>
      <w:r w:rsidR="000A1243">
        <w:t>possono</w:t>
      </w:r>
      <w:r w:rsidR="0035156F">
        <w:t xml:space="preserve"> aiutare a trovare una risposta a tale domanda.</w:t>
      </w:r>
    </w:p>
    <w:p w14:paraId="1F414A60" w14:textId="77777777" w:rsidR="004347FB" w:rsidRDefault="004347FB" w:rsidP="003A036D">
      <w:pPr>
        <w:jc w:val="both"/>
      </w:pPr>
    </w:p>
    <w:p w14:paraId="52383FA0" w14:textId="77777777" w:rsidR="003C5E74" w:rsidRDefault="003C5E74" w:rsidP="003A036D">
      <w:pPr>
        <w:jc w:val="both"/>
      </w:pPr>
    </w:p>
    <w:p w14:paraId="5F3A971E" w14:textId="5712418D" w:rsidR="00F3648C" w:rsidRPr="00497091" w:rsidRDefault="00194ABD" w:rsidP="003A036D">
      <w:pPr>
        <w:rPr>
          <w:b/>
          <w:bCs/>
        </w:rPr>
      </w:pPr>
      <w:r>
        <w:rPr>
          <w:b/>
          <w:bCs/>
        </w:rPr>
        <w:t>Fig</w:t>
      </w:r>
      <w:r w:rsidR="0058430D">
        <w:rPr>
          <w:b/>
          <w:bCs/>
        </w:rPr>
        <w:t>.</w:t>
      </w:r>
      <w:r w:rsidR="00497091" w:rsidRPr="00497091">
        <w:rPr>
          <w:b/>
          <w:bCs/>
        </w:rPr>
        <w:t xml:space="preserve"> 6.1 </w:t>
      </w:r>
      <w:r w:rsidR="0058430D">
        <w:rPr>
          <w:b/>
          <w:bCs/>
        </w:rPr>
        <w:t xml:space="preserve">- </w:t>
      </w:r>
      <w:r w:rsidR="00497091" w:rsidRPr="00497091">
        <w:rPr>
          <w:b/>
          <w:bCs/>
        </w:rPr>
        <w:t>In che modo la digitalizzazione, nelle sue diverse forme, ha contribuito ad aumentare la proiezione della vostra azienda sui mercati internazionali?</w:t>
      </w:r>
      <w:r w:rsidR="00F161D7">
        <w:rPr>
          <w:b/>
          <w:bCs/>
        </w:rPr>
        <w:t xml:space="preserve"> (val %)</w:t>
      </w:r>
    </w:p>
    <w:p w14:paraId="0DED427A" w14:textId="3AB63517" w:rsidR="00194ABD" w:rsidRDefault="00194ABD" w:rsidP="003A036D">
      <w:pPr>
        <w:jc w:val="both"/>
        <w:rPr>
          <w:sz w:val="18"/>
          <w:szCs w:val="18"/>
        </w:rPr>
      </w:pPr>
      <w:r>
        <w:rPr>
          <w:noProof/>
        </w:rPr>
        <w:drawing>
          <wp:inline distT="0" distB="0" distL="0" distR="0" wp14:anchorId="7B1F7B22" wp14:editId="2F09ACB6">
            <wp:extent cx="6361044" cy="2743200"/>
            <wp:effectExtent l="0" t="0" r="1905" b="0"/>
            <wp:docPr id="357901415" name="Grafico 1">
              <a:extLst xmlns:a="http://schemas.openxmlformats.org/drawingml/2006/main">
                <a:ext uri="{FF2B5EF4-FFF2-40B4-BE49-F238E27FC236}">
                  <a16:creationId xmlns:a16="http://schemas.microsoft.com/office/drawing/2014/main" id="{1027CCE0-4B01-3EEA-C0A8-D11BD76B7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A88513" w14:textId="4509396F" w:rsidR="00F161D7" w:rsidRPr="00700ED6" w:rsidRDefault="00F161D7" w:rsidP="003A036D">
      <w:pPr>
        <w:jc w:val="both"/>
        <w:rPr>
          <w:sz w:val="18"/>
          <w:szCs w:val="18"/>
        </w:rPr>
      </w:pPr>
      <w:r w:rsidRPr="00700ED6">
        <w:rPr>
          <w:sz w:val="18"/>
          <w:szCs w:val="18"/>
        </w:rPr>
        <w:t>Fonte: Fondazione Nord Est 2023 (649 casi)</w:t>
      </w:r>
    </w:p>
    <w:p w14:paraId="140100C3" w14:textId="77777777" w:rsidR="0035156F" w:rsidRDefault="0035156F" w:rsidP="003A036D">
      <w:pPr>
        <w:jc w:val="both"/>
      </w:pPr>
    </w:p>
    <w:p w14:paraId="5A964466" w14:textId="521500D8" w:rsidR="00954532" w:rsidRDefault="00A10477" w:rsidP="003A036D">
      <w:pPr>
        <w:jc w:val="both"/>
      </w:pPr>
      <w:r>
        <w:t>Come si può subito notare, per quanto riguarda il sostegno all’internazionalizzazione</w:t>
      </w:r>
      <w:r w:rsidR="00321F1B">
        <w:t>,</w:t>
      </w:r>
      <w:r>
        <w:t xml:space="preserve"> </w:t>
      </w:r>
      <w:r w:rsidR="00321F1B">
        <w:t>la</w:t>
      </w:r>
      <w:r>
        <w:t xml:space="preserve"> digitalizzazione </w:t>
      </w:r>
      <w:r w:rsidR="00321F1B">
        <w:t xml:space="preserve">è risultata </w:t>
      </w:r>
      <w:r w:rsidR="0087320A">
        <w:t xml:space="preserve">“molto” o “moltissimo” utile </w:t>
      </w:r>
      <w:r w:rsidR="006D29C8" w:rsidRPr="00F50A9C">
        <w:t>per</w:t>
      </w:r>
      <w:r w:rsidR="006D29C8">
        <w:t xml:space="preserve"> </w:t>
      </w:r>
      <w:r w:rsidR="00014DF8">
        <w:t>due imprese su tre nell’ambito</w:t>
      </w:r>
      <w:r w:rsidR="00C16989">
        <w:t xml:space="preserve"> </w:t>
      </w:r>
      <w:r w:rsidR="000B102A">
        <w:t>della c</w:t>
      </w:r>
      <w:r w:rsidR="000B102A" w:rsidRPr="000B102A">
        <w:t xml:space="preserve">ollaborazione e comunicazione remota </w:t>
      </w:r>
      <w:r w:rsidR="000B102A">
        <w:t>(</w:t>
      </w:r>
      <w:r w:rsidR="007B426B">
        <w:t>il 67,2% delle</w:t>
      </w:r>
      <w:r w:rsidR="006D29C8">
        <w:t xml:space="preserve"> imprese</w:t>
      </w:r>
      <w:r w:rsidR="00A53E36">
        <w:t>)</w:t>
      </w:r>
      <w:r w:rsidR="003C1650">
        <w:t>,</w:t>
      </w:r>
      <w:r w:rsidR="00A53E36">
        <w:t xml:space="preserve"> </w:t>
      </w:r>
      <w:r w:rsidR="00014DF8">
        <w:t xml:space="preserve">e da più della metà </w:t>
      </w:r>
      <w:r w:rsidR="00CA2661">
        <w:t>in quello della el</w:t>
      </w:r>
      <w:r w:rsidR="00CA2661" w:rsidRPr="00CA2661">
        <w:t>aborazione degli ordini e/o</w:t>
      </w:r>
      <w:r w:rsidR="00CA2661">
        <w:t xml:space="preserve"> della loro</w:t>
      </w:r>
      <w:r w:rsidR="00CA2661" w:rsidRPr="00CA2661">
        <w:t xml:space="preserve"> gestione automatizzata </w:t>
      </w:r>
      <w:r w:rsidR="00CA2661">
        <w:t xml:space="preserve">(56%) </w:t>
      </w:r>
      <w:r w:rsidR="004600B5">
        <w:t xml:space="preserve">e nella capacità di </w:t>
      </w:r>
      <w:r w:rsidR="001D2F8A">
        <w:t>support</w:t>
      </w:r>
      <w:r w:rsidR="004600B5">
        <w:t>are</w:t>
      </w:r>
      <w:r w:rsidR="001D2F8A">
        <w:t xml:space="preserve"> i clienti </w:t>
      </w:r>
      <w:r w:rsidR="004600B5">
        <w:t>(53%)</w:t>
      </w:r>
      <w:r w:rsidR="001D2F8A">
        <w:t>.</w:t>
      </w:r>
      <w:r w:rsidR="00064A73">
        <w:t xml:space="preserve"> Va sottolineato che </w:t>
      </w:r>
      <w:r w:rsidR="00DA0E40">
        <w:t xml:space="preserve">una quota che ruota attorno al 20% delle imprese </w:t>
      </w:r>
      <w:r w:rsidR="000A0540">
        <w:t>ritiene</w:t>
      </w:r>
      <w:r w:rsidR="00DA0E40">
        <w:t xml:space="preserve"> che</w:t>
      </w:r>
      <w:r w:rsidR="000A0540">
        <w:t xml:space="preserve"> la digitalizzazione </w:t>
      </w:r>
      <w:r w:rsidR="00743760">
        <w:t>non sia</w:t>
      </w:r>
      <w:r w:rsidR="000A0540">
        <w:t xml:space="preserve"> utile ad aumentare la propria proiezione internazionale, indipendentemente dall’ambito di applicazione.</w:t>
      </w:r>
      <w:r w:rsidR="00142A08">
        <w:t xml:space="preserve"> </w:t>
      </w:r>
    </w:p>
    <w:p w14:paraId="21DB888A" w14:textId="77777777" w:rsidR="00743760" w:rsidRDefault="00743760" w:rsidP="004600B5">
      <w:pPr>
        <w:jc w:val="both"/>
      </w:pPr>
    </w:p>
    <w:p w14:paraId="7DC52B95" w14:textId="79315EBB" w:rsidR="005A7156" w:rsidRDefault="005A7156" w:rsidP="003A036D">
      <w:pPr>
        <w:jc w:val="both"/>
      </w:pPr>
      <w:r>
        <w:t xml:space="preserve">Per </w:t>
      </w:r>
      <w:r w:rsidR="00E902EE">
        <w:t>approfondi</w:t>
      </w:r>
      <w:r w:rsidR="00C5739E">
        <w:t>re la questione</w:t>
      </w:r>
      <w:r w:rsidR="00596EAD">
        <w:t xml:space="preserve"> attorno ai tre ambiti indicati</w:t>
      </w:r>
      <w:r w:rsidR="00C5739E">
        <w:t xml:space="preserve"> </w:t>
      </w:r>
      <w:r w:rsidR="00596EAD">
        <w:t>si può</w:t>
      </w:r>
      <w:r w:rsidR="00C5739E">
        <w:t xml:space="preserve"> </w:t>
      </w:r>
      <w:r w:rsidR="00797D5F">
        <w:t>analizza</w:t>
      </w:r>
      <w:r w:rsidR="00596EAD">
        <w:t>re</w:t>
      </w:r>
      <w:r w:rsidR="00C5739E">
        <w:t xml:space="preserve"> la distribuzione delle risposte rispetto alla </w:t>
      </w:r>
      <w:r w:rsidR="000C2B5C">
        <w:t>classe di fatturato</w:t>
      </w:r>
      <w:r w:rsidR="00BD00C7">
        <w:t xml:space="preserve">. Si deve ricordare che, seguendo </w:t>
      </w:r>
      <w:r w:rsidR="004026ED">
        <w:t xml:space="preserve">i risultati della </w:t>
      </w:r>
      <w:r w:rsidR="00BD00C7">
        <w:t>cluster analysis pre</w:t>
      </w:r>
      <w:r w:rsidR="00E11B38">
        <w:t xml:space="preserve">cedentemente effettuata, la maggior parte delle aziende che possono essere considerate </w:t>
      </w:r>
      <w:r w:rsidR="001C3DC0">
        <w:t xml:space="preserve">come esportatrici </w:t>
      </w:r>
      <w:r w:rsidR="00FE0544" w:rsidRPr="00F50A9C">
        <w:t>continuative</w:t>
      </w:r>
      <w:r w:rsidR="00FE0544">
        <w:t xml:space="preserve"> </w:t>
      </w:r>
      <w:r w:rsidR="001C3DC0">
        <w:t>– con ricavi</w:t>
      </w:r>
      <w:r w:rsidR="00E753D5">
        <w:t>,</w:t>
      </w:r>
      <w:r w:rsidR="001C3DC0">
        <w:t xml:space="preserve"> dunque</w:t>
      </w:r>
      <w:r w:rsidR="00E753D5">
        <w:t>,</w:t>
      </w:r>
      <w:r w:rsidR="001C3DC0">
        <w:t xml:space="preserve"> </w:t>
      </w:r>
      <w:r w:rsidR="0002598E">
        <w:t xml:space="preserve">in larga parte derivanti da oltre i confini nazionali, compresi paesi extra UE </w:t>
      </w:r>
      <w:r w:rsidR="00AD2471">
        <w:t>–</w:t>
      </w:r>
      <w:r w:rsidR="0002598E">
        <w:t xml:space="preserve"> </w:t>
      </w:r>
      <w:r w:rsidR="00AD2471">
        <w:t>rientrano nelle classi di fatturato più elevate</w:t>
      </w:r>
      <w:r w:rsidR="00FB1F80">
        <w:t xml:space="preserve"> e</w:t>
      </w:r>
      <w:r w:rsidR="00AD2471">
        <w:t xml:space="preserve"> </w:t>
      </w:r>
      <w:r w:rsidR="00FB1F80">
        <w:t>nella maggior parte dei casi</w:t>
      </w:r>
      <w:r w:rsidR="00AD2471">
        <w:t xml:space="preserve"> questo valore supera i 10 milioni di </w:t>
      </w:r>
      <w:r w:rsidR="0085377B" w:rsidRPr="00700ED6">
        <w:t>euro</w:t>
      </w:r>
      <w:r w:rsidR="00AD2471" w:rsidRPr="00700ED6">
        <w:t>.</w:t>
      </w:r>
    </w:p>
    <w:p w14:paraId="582D6A62" w14:textId="7FACC2DB" w:rsidR="00E753D5" w:rsidRDefault="00E753D5" w:rsidP="00F30551">
      <w:pPr>
        <w:jc w:val="both"/>
      </w:pPr>
      <w:r>
        <w:t xml:space="preserve">È possibile scorgere una tendenza generale descritta dalle risposte fornite </w:t>
      </w:r>
      <w:r w:rsidR="003C3100">
        <w:t>dalle</w:t>
      </w:r>
      <w:r>
        <w:t xml:space="preserve"> imprese. All’aumentare della classe di fatturato (e quindi della dimensione) le imprese affidano un’importanza via via maggiore alla digitalizzazione, in tutti gli ambiti di applicazione. In tutte e tre le casistiche si nota infatti come le percentuali più elevate per quanto riguarda la voce “Moltissimo” e “Molto” le si possono riscontrare proprio in concomitanza delle fasce più alte di ricavi</w:t>
      </w:r>
      <w:r w:rsidR="003C3100">
        <w:t xml:space="preserve"> e quindi tra le imprese di dimensioni maggiori. </w:t>
      </w:r>
    </w:p>
    <w:p w14:paraId="6351E790" w14:textId="77777777" w:rsidR="00E753D5" w:rsidRDefault="00E753D5" w:rsidP="003A036D">
      <w:pPr>
        <w:jc w:val="both"/>
      </w:pPr>
    </w:p>
    <w:p w14:paraId="6864889F" w14:textId="77777777" w:rsidR="00EE365B" w:rsidRDefault="00EE365B" w:rsidP="003A036D"/>
    <w:p w14:paraId="51E1D453" w14:textId="02BB9390" w:rsidR="005A7156" w:rsidRPr="00596EAD" w:rsidRDefault="002C7DA6" w:rsidP="003A036D">
      <w:pPr>
        <w:rPr>
          <w:b/>
          <w:bCs/>
        </w:rPr>
      </w:pPr>
      <w:r>
        <w:rPr>
          <w:b/>
          <w:bCs/>
        </w:rPr>
        <w:t>Fig</w:t>
      </w:r>
      <w:r w:rsidR="0058430D">
        <w:rPr>
          <w:b/>
          <w:bCs/>
        </w:rPr>
        <w:t>.</w:t>
      </w:r>
      <w:r w:rsidR="005A7156" w:rsidRPr="00596EAD">
        <w:rPr>
          <w:b/>
          <w:bCs/>
        </w:rPr>
        <w:t xml:space="preserve"> 6.2 </w:t>
      </w:r>
      <w:r w:rsidR="0058430D">
        <w:rPr>
          <w:b/>
          <w:bCs/>
        </w:rPr>
        <w:t xml:space="preserve">- </w:t>
      </w:r>
      <w:r w:rsidR="00596EAD">
        <w:rPr>
          <w:b/>
          <w:bCs/>
        </w:rPr>
        <w:t>Utilità della digitalizzazione, nelle sue diverse forme, rispetto all’e</w:t>
      </w:r>
      <w:r w:rsidR="005A7156" w:rsidRPr="00596EAD">
        <w:rPr>
          <w:b/>
          <w:bCs/>
        </w:rPr>
        <w:t>laborazione degli ordini e/o gestione automatizzata degli ordini</w:t>
      </w:r>
      <w:r w:rsidR="00F161D7">
        <w:rPr>
          <w:b/>
          <w:bCs/>
        </w:rPr>
        <w:t xml:space="preserve"> (val %</w:t>
      </w:r>
      <w:r w:rsidR="004351F3">
        <w:rPr>
          <w:b/>
          <w:bCs/>
        </w:rPr>
        <w:t xml:space="preserve"> al netto delle non risposte</w:t>
      </w:r>
      <w:r w:rsidR="00670277">
        <w:rPr>
          <w:b/>
          <w:bCs/>
        </w:rPr>
        <w:t xml:space="preserve"> per classe dimensionale</w:t>
      </w:r>
      <w:r w:rsidR="00F161D7">
        <w:rPr>
          <w:b/>
          <w:bCs/>
        </w:rPr>
        <w:t>)</w:t>
      </w:r>
    </w:p>
    <w:p w14:paraId="6E6FB893" w14:textId="3C879E8E" w:rsidR="0029500F" w:rsidRDefault="0029500F" w:rsidP="003A036D">
      <w:pPr>
        <w:rPr>
          <w:sz w:val="18"/>
          <w:szCs w:val="18"/>
        </w:rPr>
      </w:pPr>
      <w:r>
        <w:rPr>
          <w:noProof/>
        </w:rPr>
        <w:drawing>
          <wp:inline distT="0" distB="0" distL="0" distR="0" wp14:anchorId="39DA9284" wp14:editId="68B28FCF">
            <wp:extent cx="5989955" cy="2069123"/>
            <wp:effectExtent l="0" t="0" r="0" b="0"/>
            <wp:docPr id="1028361663" name="Grafico 1">
              <a:extLst xmlns:a="http://schemas.openxmlformats.org/drawingml/2006/main">
                <a:ext uri="{FF2B5EF4-FFF2-40B4-BE49-F238E27FC236}">
                  <a16:creationId xmlns:a16="http://schemas.microsoft.com/office/drawing/2014/main" id="{81C82634-AC21-7849-7CF8-AD5B1C607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2FC4EC" w14:textId="0094FB0C" w:rsidR="00EE365B" w:rsidRPr="00700ED6" w:rsidRDefault="000A1C92" w:rsidP="003A036D">
      <w:pPr>
        <w:rPr>
          <w:sz w:val="18"/>
          <w:szCs w:val="18"/>
        </w:rPr>
      </w:pPr>
      <w:r w:rsidRPr="00700ED6">
        <w:rPr>
          <w:sz w:val="18"/>
          <w:szCs w:val="18"/>
        </w:rPr>
        <w:t>Fonte: Fondazione Nord Est (649 casi)</w:t>
      </w:r>
    </w:p>
    <w:p w14:paraId="252BDC22" w14:textId="77777777" w:rsidR="008D5909" w:rsidRDefault="008D5909" w:rsidP="003A036D">
      <w:pPr>
        <w:rPr>
          <w:b/>
          <w:bCs/>
        </w:rPr>
      </w:pPr>
    </w:p>
    <w:p w14:paraId="71AC4EF1" w14:textId="77777777" w:rsidR="00792A53" w:rsidRDefault="00792A53" w:rsidP="003A036D">
      <w:pPr>
        <w:rPr>
          <w:b/>
          <w:bCs/>
        </w:rPr>
      </w:pPr>
    </w:p>
    <w:p w14:paraId="7D6D1353" w14:textId="1FFFD251" w:rsidR="0028285C" w:rsidRPr="00B46D38" w:rsidRDefault="002C7DA6" w:rsidP="004351F3">
      <w:pPr>
        <w:jc w:val="both"/>
        <w:rPr>
          <w:b/>
          <w:bCs/>
        </w:rPr>
      </w:pPr>
      <w:r>
        <w:rPr>
          <w:b/>
          <w:bCs/>
        </w:rPr>
        <w:t>Fig</w:t>
      </w:r>
      <w:r w:rsidR="0058430D">
        <w:rPr>
          <w:b/>
          <w:bCs/>
        </w:rPr>
        <w:t>.</w:t>
      </w:r>
      <w:r w:rsidR="0028285C" w:rsidRPr="00B46D38">
        <w:rPr>
          <w:b/>
          <w:bCs/>
        </w:rPr>
        <w:t xml:space="preserve"> 6.3 </w:t>
      </w:r>
      <w:r w:rsidR="0058430D">
        <w:rPr>
          <w:b/>
          <w:bCs/>
        </w:rPr>
        <w:t xml:space="preserve">- </w:t>
      </w:r>
      <w:r w:rsidR="0028285C" w:rsidRPr="00B46D38">
        <w:rPr>
          <w:b/>
          <w:bCs/>
        </w:rPr>
        <w:t xml:space="preserve">Utilità della digitalizzazione, nelle sue diverse forme, rispetto </w:t>
      </w:r>
      <w:r w:rsidR="00B46D38" w:rsidRPr="00B46D38">
        <w:rPr>
          <w:b/>
          <w:bCs/>
        </w:rPr>
        <w:t xml:space="preserve">all’aumento delle capacità di servizio/supporto ai clienti (val </w:t>
      </w:r>
      <w:r w:rsidR="004351F3">
        <w:rPr>
          <w:b/>
          <w:bCs/>
        </w:rPr>
        <w:t>% al netto delle non risposte</w:t>
      </w:r>
      <w:r w:rsidR="00670277">
        <w:rPr>
          <w:b/>
          <w:bCs/>
        </w:rPr>
        <w:t xml:space="preserve"> per classe dimensionale</w:t>
      </w:r>
      <w:r w:rsidR="004351F3">
        <w:rPr>
          <w:b/>
          <w:bCs/>
        </w:rPr>
        <w:t>)</w:t>
      </w:r>
      <w:r w:rsidR="004351F3" w:rsidRPr="00B46D38">
        <w:rPr>
          <w:b/>
          <w:bCs/>
        </w:rPr>
        <w:t xml:space="preserve"> </w:t>
      </w:r>
    </w:p>
    <w:p w14:paraId="231AD80D" w14:textId="1935FD74" w:rsidR="000B2440" w:rsidRDefault="000B2440" w:rsidP="003A036D">
      <w:pPr>
        <w:rPr>
          <w:sz w:val="18"/>
          <w:szCs w:val="18"/>
        </w:rPr>
      </w:pPr>
      <w:r>
        <w:rPr>
          <w:noProof/>
        </w:rPr>
        <w:drawing>
          <wp:inline distT="0" distB="0" distL="0" distR="0" wp14:anchorId="47491984" wp14:editId="2A6E68AD">
            <wp:extent cx="6130925" cy="1940170"/>
            <wp:effectExtent l="0" t="0" r="3175" b="3175"/>
            <wp:docPr id="369626693" name="Grafico 1">
              <a:extLst xmlns:a="http://schemas.openxmlformats.org/drawingml/2006/main">
                <a:ext uri="{FF2B5EF4-FFF2-40B4-BE49-F238E27FC236}">
                  <a16:creationId xmlns:a16="http://schemas.microsoft.com/office/drawing/2014/main" id="{2AC71900-4A9F-D137-9829-92FE7F967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11FC4BB" w14:textId="7073BCB1" w:rsidR="000A1C92" w:rsidRPr="00700ED6" w:rsidRDefault="000A1C92" w:rsidP="003A036D">
      <w:pPr>
        <w:rPr>
          <w:sz w:val="18"/>
          <w:szCs w:val="18"/>
        </w:rPr>
      </w:pPr>
      <w:r w:rsidRPr="00700ED6">
        <w:rPr>
          <w:sz w:val="18"/>
          <w:szCs w:val="18"/>
        </w:rPr>
        <w:t>Fonte: Fondazione Nord Est (649 casi)</w:t>
      </w:r>
    </w:p>
    <w:p w14:paraId="4897C912" w14:textId="77777777" w:rsidR="000A1C92" w:rsidRDefault="000A1C92" w:rsidP="003A036D">
      <w:pPr>
        <w:rPr>
          <w:b/>
          <w:bCs/>
        </w:rPr>
      </w:pPr>
    </w:p>
    <w:p w14:paraId="0242A65D" w14:textId="77777777" w:rsidR="00792A53" w:rsidRDefault="00792A53" w:rsidP="003A036D">
      <w:pPr>
        <w:rPr>
          <w:b/>
          <w:bCs/>
        </w:rPr>
      </w:pPr>
    </w:p>
    <w:p w14:paraId="34353D7F" w14:textId="6EF35955" w:rsidR="00F3648C" w:rsidRPr="00841AC4" w:rsidRDefault="002C7DA6" w:rsidP="004351F3">
      <w:pPr>
        <w:jc w:val="both"/>
        <w:rPr>
          <w:b/>
          <w:bCs/>
        </w:rPr>
      </w:pPr>
      <w:r>
        <w:rPr>
          <w:b/>
          <w:bCs/>
        </w:rPr>
        <w:t>Fig</w:t>
      </w:r>
      <w:r w:rsidR="0058430D">
        <w:rPr>
          <w:b/>
          <w:bCs/>
        </w:rPr>
        <w:t>.</w:t>
      </w:r>
      <w:r w:rsidR="0086674D" w:rsidRPr="00841AC4">
        <w:rPr>
          <w:b/>
          <w:bCs/>
        </w:rPr>
        <w:t xml:space="preserve"> 6.4 </w:t>
      </w:r>
      <w:r w:rsidR="0058430D">
        <w:rPr>
          <w:b/>
          <w:bCs/>
        </w:rPr>
        <w:t xml:space="preserve">- </w:t>
      </w:r>
      <w:r w:rsidR="0086674D" w:rsidRPr="00841AC4">
        <w:rPr>
          <w:b/>
          <w:bCs/>
        </w:rPr>
        <w:t xml:space="preserve">Utilità della digitalizzazione, nelle sue diverse forme, </w:t>
      </w:r>
      <w:r w:rsidR="00841AC4" w:rsidRPr="00841AC4">
        <w:rPr>
          <w:b/>
          <w:bCs/>
        </w:rPr>
        <w:t xml:space="preserve">nel rendere la collaborazione e la comunicazione remota più efficienti (val </w:t>
      </w:r>
      <w:r w:rsidR="004351F3">
        <w:rPr>
          <w:b/>
          <w:bCs/>
        </w:rPr>
        <w:t>% al netto delle non risposte</w:t>
      </w:r>
      <w:r w:rsidR="00670277">
        <w:rPr>
          <w:b/>
          <w:bCs/>
        </w:rPr>
        <w:t xml:space="preserve"> per classe dimensionale</w:t>
      </w:r>
      <w:r w:rsidR="004351F3">
        <w:rPr>
          <w:b/>
          <w:bCs/>
        </w:rPr>
        <w:t>)</w:t>
      </w:r>
    </w:p>
    <w:p w14:paraId="15E29DBE" w14:textId="3E05651D" w:rsidR="004404DA" w:rsidRDefault="004404DA" w:rsidP="003A036D">
      <w:pPr>
        <w:rPr>
          <w:sz w:val="18"/>
          <w:szCs w:val="18"/>
        </w:rPr>
      </w:pPr>
      <w:r>
        <w:rPr>
          <w:noProof/>
        </w:rPr>
        <w:drawing>
          <wp:inline distT="0" distB="0" distL="0" distR="0" wp14:anchorId="7004D31D" wp14:editId="6513248F">
            <wp:extent cx="6195060" cy="2028093"/>
            <wp:effectExtent l="0" t="0" r="0" b="0"/>
            <wp:docPr id="849667213" name="Grafico 1">
              <a:extLst xmlns:a="http://schemas.openxmlformats.org/drawingml/2006/main">
                <a:ext uri="{FF2B5EF4-FFF2-40B4-BE49-F238E27FC236}">
                  <a16:creationId xmlns:a16="http://schemas.microsoft.com/office/drawing/2014/main" id="{A32D02F1-21F6-2C62-452F-FBA5506C9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8A7F35" w14:textId="220E33B6" w:rsidR="00084AA2" w:rsidRPr="00700ED6" w:rsidRDefault="000A1C92" w:rsidP="003A036D">
      <w:pPr>
        <w:rPr>
          <w:sz w:val="18"/>
          <w:szCs w:val="18"/>
        </w:rPr>
      </w:pPr>
      <w:r w:rsidRPr="00700ED6">
        <w:rPr>
          <w:sz w:val="18"/>
          <w:szCs w:val="18"/>
        </w:rPr>
        <w:t>Fonte: Fondazione Nord Est (649 casi)</w:t>
      </w:r>
    </w:p>
    <w:p w14:paraId="18DC3AED" w14:textId="77777777" w:rsidR="004F075A" w:rsidRPr="00700ED6" w:rsidRDefault="004F075A" w:rsidP="003A036D">
      <w:pPr>
        <w:rPr>
          <w:sz w:val="18"/>
          <w:szCs w:val="18"/>
        </w:rPr>
      </w:pPr>
    </w:p>
    <w:p w14:paraId="4340C5A2" w14:textId="77777777" w:rsidR="00E753D5" w:rsidRDefault="00E753D5" w:rsidP="003A036D"/>
    <w:p w14:paraId="1DF685B1" w14:textId="71DFE0E2" w:rsidR="00C545CB" w:rsidRDefault="00B1632F" w:rsidP="00B731DA">
      <w:pPr>
        <w:jc w:val="both"/>
      </w:pPr>
      <w:r>
        <w:t>I dati che riguardano</w:t>
      </w:r>
      <w:r w:rsidR="00477459">
        <w:t xml:space="preserve"> l’utilità della transizione digitale rispetto all’automazione degli ordini</w:t>
      </w:r>
      <w:r>
        <w:t xml:space="preserve"> evidenziano un </w:t>
      </w:r>
      <w:r w:rsidR="00154238">
        <w:t>andamento interessante</w:t>
      </w:r>
      <w:r w:rsidR="00BD4118">
        <w:t>:</w:t>
      </w:r>
      <w:r w:rsidR="00477459">
        <w:t xml:space="preserve"> </w:t>
      </w:r>
      <w:r w:rsidR="00BD4118">
        <w:t>i</w:t>
      </w:r>
      <w:r w:rsidR="00477459">
        <w:t xml:space="preserve">n questo caso i valori che spiccano appartengono alla classe di fatturato 10-25 milioni di </w:t>
      </w:r>
      <w:r w:rsidR="008554D2">
        <w:t>euro</w:t>
      </w:r>
      <w:r w:rsidR="00154238">
        <w:t xml:space="preserve"> (il 46,4% del</w:t>
      </w:r>
      <w:r w:rsidR="003A1FAC">
        <w:t>le imprese assegna un’utilità molto alta e il 15% altissima</w:t>
      </w:r>
      <w:r w:rsidR="004B0247">
        <w:t xml:space="preserve"> a tali tools)</w:t>
      </w:r>
      <w:r w:rsidR="00491F05">
        <w:t>. Stiamo parlando di</w:t>
      </w:r>
      <w:r w:rsidR="00477459">
        <w:t xml:space="preserve"> imprese </w:t>
      </w:r>
      <w:r w:rsidR="00491F05">
        <w:t xml:space="preserve">di </w:t>
      </w:r>
      <w:r w:rsidR="00ED5B28">
        <w:t xml:space="preserve">dimensioni </w:t>
      </w:r>
      <w:r w:rsidR="00491F05">
        <w:t>“medie” che probabilmente hanno</w:t>
      </w:r>
      <w:r w:rsidR="00ED5B28">
        <w:t xml:space="preserve"> ancora ampio potenziale di sviluppo </w:t>
      </w:r>
      <w:r w:rsidR="006F4ED0">
        <w:t xml:space="preserve">non solamente </w:t>
      </w:r>
      <w:r w:rsidR="00ED5B28">
        <w:t>nei mercati internazionali</w:t>
      </w:r>
      <w:r w:rsidR="006F4ED0">
        <w:t xml:space="preserve"> ma anche nel percorso </w:t>
      </w:r>
      <w:r w:rsidR="00ED5B28">
        <w:t xml:space="preserve">di </w:t>
      </w:r>
      <w:r w:rsidR="006F4ED0">
        <w:t>transizione digitale</w:t>
      </w:r>
      <w:r w:rsidR="00B731DA">
        <w:t>, una situazione</w:t>
      </w:r>
      <w:r w:rsidR="00ED5B28">
        <w:t xml:space="preserve"> che </w:t>
      </w:r>
      <w:r w:rsidR="00B731DA">
        <w:t>permetterebbe</w:t>
      </w:r>
      <w:r w:rsidR="00ED5B28">
        <w:t xml:space="preserve"> ancora ampi vantaggi, il che </w:t>
      </w:r>
      <w:r w:rsidR="00B731DA">
        <w:t>potrebbe giustificare</w:t>
      </w:r>
      <w:r w:rsidR="00ED5B28">
        <w:t xml:space="preserve"> </w:t>
      </w:r>
      <w:r w:rsidR="002813F6">
        <w:t>valutazioni così elevate attribuite all</w:t>
      </w:r>
      <w:r w:rsidR="00526C66">
        <w:t xml:space="preserve">’utilità </w:t>
      </w:r>
      <w:r w:rsidR="008C79C6">
        <w:t>di tali strumenti</w:t>
      </w:r>
      <w:r w:rsidR="00526C66">
        <w:t>.</w:t>
      </w:r>
    </w:p>
    <w:p w14:paraId="2BD7885A" w14:textId="77777777" w:rsidR="001E64E8" w:rsidRDefault="001E64E8" w:rsidP="003A036D"/>
    <w:p w14:paraId="4C3AE9E0" w14:textId="77777777" w:rsidR="007A6A9D" w:rsidRDefault="00AB5035" w:rsidP="007F5767">
      <w:pPr>
        <w:jc w:val="both"/>
      </w:pPr>
      <w:r>
        <w:t>Avendo analizzato l’opinione delle diverse imprese circa l’utilità della transizione digitale rispetto ai vari ambiti</w:t>
      </w:r>
      <w:r w:rsidR="00833E9A">
        <w:t xml:space="preserve"> di applicazione</w:t>
      </w:r>
      <w:r w:rsidR="008C79C6">
        <w:t xml:space="preserve"> nel campo dell’</w:t>
      </w:r>
      <w:r w:rsidR="00EE3C6D">
        <w:t>internazionalizzazione</w:t>
      </w:r>
      <w:r>
        <w:t xml:space="preserve">, è ora possibile vedere come le stesse pensano di muoversi nel </w:t>
      </w:r>
      <w:r w:rsidR="00833E9A">
        <w:t xml:space="preserve">prossimo </w:t>
      </w:r>
      <w:r>
        <w:t>futuro proprio a proposito dello sviluppo di sistemi e applicazioni digitali.</w:t>
      </w:r>
      <w:r w:rsidR="007F5767">
        <w:t xml:space="preserve"> </w:t>
      </w:r>
    </w:p>
    <w:p w14:paraId="2920EC9B" w14:textId="77777777" w:rsidR="005F5ECC" w:rsidRDefault="005F5ECC" w:rsidP="007F5767">
      <w:pPr>
        <w:jc w:val="both"/>
      </w:pPr>
    </w:p>
    <w:p w14:paraId="48AB85E6" w14:textId="760C2876" w:rsidR="0004016F" w:rsidRDefault="00054701" w:rsidP="007F5767">
      <w:pPr>
        <w:jc w:val="both"/>
      </w:pPr>
      <w:r>
        <w:t>Le imprese intendono investire</w:t>
      </w:r>
      <w:r w:rsidR="007F5767">
        <w:t xml:space="preserve"> in </w:t>
      </w:r>
      <w:r>
        <w:t xml:space="preserve">futuro principalmente </w:t>
      </w:r>
      <w:r w:rsidR="00F2752A">
        <w:t>su progetti finalizzati ad</w:t>
      </w:r>
      <w:r w:rsidR="007F5767">
        <w:t xml:space="preserve"> aument</w:t>
      </w:r>
      <w:r w:rsidR="00F2752A">
        <w:t>are</w:t>
      </w:r>
      <w:r w:rsidR="007F5767">
        <w:t xml:space="preserve"> la presenza online</w:t>
      </w:r>
      <w:r w:rsidR="00F2752A">
        <w:t xml:space="preserve"> (52,1% delle imprese</w:t>
      </w:r>
      <w:r w:rsidR="00726B30">
        <w:t>)</w:t>
      </w:r>
      <w:r w:rsidR="007F5767">
        <w:t>, seguito da investimenti in marketing digitale</w:t>
      </w:r>
      <w:r w:rsidR="0004016F">
        <w:t xml:space="preserve"> (38,1%</w:t>
      </w:r>
      <w:r w:rsidR="00FE0544">
        <w:t xml:space="preserve">, </w:t>
      </w:r>
      <w:proofErr w:type="spellStart"/>
      <w:r w:rsidR="00FE0544" w:rsidRPr="00F50A9C">
        <w:t>content</w:t>
      </w:r>
      <w:proofErr w:type="spellEnd"/>
      <w:r w:rsidR="00FE0544" w:rsidRPr="00F50A9C">
        <w:t xml:space="preserve"> e performance marketing, web </w:t>
      </w:r>
      <w:proofErr w:type="spellStart"/>
      <w:r w:rsidR="00FE0544" w:rsidRPr="00F50A9C">
        <w:t>analytics</w:t>
      </w:r>
      <w:proofErr w:type="spellEnd"/>
      <w:r w:rsidR="00FE0544" w:rsidRPr="00F50A9C">
        <w:t xml:space="preserve"> e </w:t>
      </w:r>
      <w:proofErr w:type="spellStart"/>
      <w:r w:rsidR="00FE0544" w:rsidRPr="00F50A9C">
        <w:t>automation</w:t>
      </w:r>
      <w:proofErr w:type="spellEnd"/>
      <w:r w:rsidR="0004016F" w:rsidRPr="00F50A9C">
        <w:t>)</w:t>
      </w:r>
      <w:r w:rsidR="007F5767" w:rsidRPr="00F50A9C">
        <w:t xml:space="preserve">. Si noti come </w:t>
      </w:r>
      <w:r w:rsidR="0004016F" w:rsidRPr="00F50A9C">
        <w:t>in</w:t>
      </w:r>
      <w:r w:rsidR="007F5767" w:rsidRPr="00F50A9C">
        <w:t xml:space="preserve"> questi </w:t>
      </w:r>
      <w:r w:rsidR="0004016F" w:rsidRPr="00F50A9C">
        <w:t>due ambiti di investimento vengano segnalati</w:t>
      </w:r>
      <w:r w:rsidR="007F5767" w:rsidRPr="00F50A9C">
        <w:t xml:space="preserve"> anche i più alti valori afferenti alla voce “Già fatto”, a confermarne la rilevanza percepita</w:t>
      </w:r>
      <w:r w:rsidR="007F5767">
        <w:t xml:space="preserve"> già in passato</w:t>
      </w:r>
      <w:r w:rsidR="0004016F">
        <w:t xml:space="preserve"> da una parte delle imprese</w:t>
      </w:r>
      <w:r w:rsidR="007F5767">
        <w:t xml:space="preserve">. </w:t>
      </w:r>
    </w:p>
    <w:p w14:paraId="15EB57A6" w14:textId="261CA4B1" w:rsidR="007F5767" w:rsidRDefault="007F5767" w:rsidP="007F5767">
      <w:pPr>
        <w:jc w:val="both"/>
      </w:pPr>
      <w:r>
        <w:t>Una voce che invece – interpretando l’esito del quesito – appare molto più rilevante agli occhi delle imprese nel momento della risposta rispetto al passato è l’adozione di software necessari alla mappatura e gestione dei rischi, tra i quali anche quelli di sostenibilità ambientale</w:t>
      </w:r>
      <w:r w:rsidR="00044CAE">
        <w:t xml:space="preserve"> (34,4% </w:t>
      </w:r>
      <w:r w:rsidR="00E754EA">
        <w:t>la mette tra gli investimenti futuri, solamente il</w:t>
      </w:r>
      <w:r w:rsidR="00C64CE9">
        <w:t xml:space="preserve"> 4,6% lo ha fatto in passato)</w:t>
      </w:r>
      <w:r>
        <w:t>. In generale, dunque, il tema del rischio, inteso nel suo più ampio senso comprendente anche gli impatti ambientali, appare oggi caricato di maggiore importanza, tanto che più di un’impresa su tre intende adottare software per la relativa mappatura.</w:t>
      </w:r>
      <w:r w:rsidR="00427AFE">
        <w:t xml:space="preserve"> Tra le altre voci si segnala la volontà di potenziare </w:t>
      </w:r>
      <w:r w:rsidR="00427AFE" w:rsidRPr="00427AFE">
        <w:t>la formazione/istruzione a distanza offerta ai propri clienti all'estero</w:t>
      </w:r>
      <w:r w:rsidR="00427AFE">
        <w:t xml:space="preserve"> (</w:t>
      </w:r>
      <w:r w:rsidR="000B1957">
        <w:t>30,3%)</w:t>
      </w:r>
      <w:r w:rsidR="006F54DE">
        <w:t xml:space="preserve">. </w:t>
      </w:r>
    </w:p>
    <w:p w14:paraId="7049F65A" w14:textId="4B7932E0" w:rsidR="005F5ECC" w:rsidRDefault="006F54DE" w:rsidP="005F5ECC">
      <w:pPr>
        <w:jc w:val="both"/>
      </w:pPr>
      <w:r>
        <w:t xml:space="preserve">Il tema dell’e-commerce sia nella formula di adozione di sistemi basati su piattaforma propria che di terzi appare </w:t>
      </w:r>
      <w:r w:rsidR="00EA1713">
        <w:t>interessare meno le imprese (rispettivamente il 14,8% e il 10,6% intende investirci)</w:t>
      </w:r>
      <w:r w:rsidR="003930C6">
        <w:t xml:space="preserve">. </w:t>
      </w:r>
      <w:r w:rsidR="005F5ECC">
        <w:t xml:space="preserve">Solamente l’8,1% delle imprese pensa di introdurre, in futuro, un </w:t>
      </w:r>
      <w:proofErr w:type="spellStart"/>
      <w:r w:rsidR="005F5ECC">
        <w:t>digital</w:t>
      </w:r>
      <w:proofErr w:type="spellEnd"/>
      <w:r w:rsidR="005F5ECC">
        <w:t xml:space="preserve"> export manager </w:t>
      </w:r>
      <w:r w:rsidR="00B51D5A">
        <w:t>mentre</w:t>
      </w:r>
      <w:r w:rsidR="005F5ECC">
        <w:t xml:space="preserve"> il 5,1% delle imprese dichiara di averlo già fatto</w:t>
      </w:r>
      <w:r w:rsidR="00B51D5A">
        <w:t xml:space="preserve"> in passato</w:t>
      </w:r>
      <w:r w:rsidR="005F5ECC">
        <w:t xml:space="preserve">. </w:t>
      </w:r>
    </w:p>
    <w:p w14:paraId="6B3E2481" w14:textId="77777777" w:rsidR="00EE3C6D" w:rsidRDefault="00EE3C6D" w:rsidP="00EE3C6D">
      <w:pPr>
        <w:jc w:val="both"/>
      </w:pPr>
    </w:p>
    <w:p w14:paraId="3E8D555B" w14:textId="77777777" w:rsidR="00792A53" w:rsidRDefault="00792A53" w:rsidP="00EE3C6D">
      <w:pPr>
        <w:jc w:val="both"/>
      </w:pPr>
    </w:p>
    <w:p w14:paraId="1069BC5A" w14:textId="6DEF7B4F" w:rsidR="005302CF" w:rsidRPr="00833E9A" w:rsidRDefault="00323C3C" w:rsidP="00EE3C6D">
      <w:pPr>
        <w:jc w:val="both"/>
        <w:rPr>
          <w:b/>
          <w:bCs/>
        </w:rPr>
      </w:pPr>
      <w:r>
        <w:rPr>
          <w:b/>
          <w:bCs/>
        </w:rPr>
        <w:t>Fig</w:t>
      </w:r>
      <w:r w:rsidR="0058430D">
        <w:rPr>
          <w:b/>
          <w:bCs/>
        </w:rPr>
        <w:t>.</w:t>
      </w:r>
      <w:r w:rsidR="005302CF" w:rsidRPr="00833E9A">
        <w:rPr>
          <w:b/>
          <w:bCs/>
        </w:rPr>
        <w:t xml:space="preserve"> 6.</w:t>
      </w:r>
      <w:r w:rsidR="00833E9A" w:rsidRPr="00833E9A">
        <w:rPr>
          <w:b/>
          <w:bCs/>
        </w:rPr>
        <w:t>5</w:t>
      </w:r>
      <w:r w:rsidR="0058430D">
        <w:rPr>
          <w:b/>
          <w:bCs/>
        </w:rPr>
        <w:t xml:space="preserve"> -</w:t>
      </w:r>
      <w:r w:rsidR="00833E9A" w:rsidRPr="00833E9A">
        <w:rPr>
          <w:b/>
          <w:bCs/>
        </w:rPr>
        <w:t xml:space="preserve"> In futuro, quali tra le seguenti strategie o strumenti digitali adotterà la sua azienda per aumentare la proiezione internazionale della sua impresa?</w:t>
      </w:r>
      <w:r w:rsidR="00833E9A">
        <w:rPr>
          <w:b/>
          <w:bCs/>
        </w:rPr>
        <w:t xml:space="preserve"> (val %</w:t>
      </w:r>
      <w:r w:rsidR="00B51D5A">
        <w:rPr>
          <w:b/>
          <w:bCs/>
        </w:rPr>
        <w:t xml:space="preserve"> al netto delle non risposte</w:t>
      </w:r>
      <w:r w:rsidR="00833E9A">
        <w:rPr>
          <w:b/>
          <w:bCs/>
        </w:rPr>
        <w:t>)</w:t>
      </w:r>
    </w:p>
    <w:p w14:paraId="2C8CDABA" w14:textId="16CC1D12" w:rsidR="003A0C13" w:rsidRDefault="003A0C13" w:rsidP="00EE3C6D">
      <w:pPr>
        <w:rPr>
          <w:sz w:val="18"/>
          <w:szCs w:val="18"/>
        </w:rPr>
      </w:pPr>
      <w:r>
        <w:rPr>
          <w:noProof/>
        </w:rPr>
        <w:drawing>
          <wp:inline distT="0" distB="0" distL="0" distR="0" wp14:anchorId="2F83FD41" wp14:editId="6E6AA153">
            <wp:extent cx="6396824" cy="2373630"/>
            <wp:effectExtent l="0" t="0" r="4445" b="7620"/>
            <wp:docPr id="1470723265" name="Grafico 1">
              <a:extLst xmlns:a="http://schemas.openxmlformats.org/drawingml/2006/main">
                <a:ext uri="{FF2B5EF4-FFF2-40B4-BE49-F238E27FC236}">
                  <a16:creationId xmlns:a16="http://schemas.microsoft.com/office/drawing/2014/main" id="{E34D1FB3-012E-F640-B8C5-D221FEFE6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CD5D0E" w14:textId="54AA83BD" w:rsidR="004F075A" w:rsidRPr="00700ED6" w:rsidRDefault="004F075A" w:rsidP="00EE3C6D">
      <w:pPr>
        <w:rPr>
          <w:sz w:val="18"/>
          <w:szCs w:val="18"/>
        </w:rPr>
      </w:pPr>
      <w:r w:rsidRPr="00700ED6">
        <w:rPr>
          <w:sz w:val="18"/>
          <w:szCs w:val="18"/>
        </w:rPr>
        <w:t>Fonte: Fondazione Nord Est (649 casi)</w:t>
      </w:r>
    </w:p>
    <w:p w14:paraId="14AD2F72" w14:textId="77777777" w:rsidR="00AB5035" w:rsidRDefault="00AB5035" w:rsidP="00EE3C6D"/>
    <w:p w14:paraId="4C8F2A91" w14:textId="347D906B" w:rsidR="00613086" w:rsidRDefault="00FA5A91" w:rsidP="00364DC7">
      <w:pPr>
        <w:jc w:val="both"/>
      </w:pPr>
      <w:r>
        <w:t xml:space="preserve">Il miglioramento della presenza online sembra interessare con maggior forza le imprese </w:t>
      </w:r>
      <w:r w:rsidR="008C4A02">
        <w:t xml:space="preserve">medio piccole </w:t>
      </w:r>
      <w:r w:rsidR="00910ADA">
        <w:t xml:space="preserve">(2-10 mil. di ricavi). </w:t>
      </w:r>
      <w:r w:rsidR="008C4A02">
        <w:t xml:space="preserve"> </w:t>
      </w:r>
      <w:r w:rsidR="00555144">
        <w:t>Quelle</w:t>
      </w:r>
      <w:r w:rsidR="00613086">
        <w:t xml:space="preserve"> con fatturato superiore ai 10 milioni di </w:t>
      </w:r>
      <w:r w:rsidR="0085377B" w:rsidRPr="00700ED6">
        <w:t>euro</w:t>
      </w:r>
      <w:r w:rsidR="00613086">
        <w:t xml:space="preserve"> riportano di aver già agito in tale direzione, e di conseguenza il numero delle imprese che dichiarano di aver intenzione di agire nuovamente in tal senso è più basso rispetto a quello delle imprese con ricavi minori.</w:t>
      </w:r>
    </w:p>
    <w:p w14:paraId="436D6107" w14:textId="77777777" w:rsidR="00792A53" w:rsidRDefault="00792A53" w:rsidP="00364DC7">
      <w:pPr>
        <w:jc w:val="both"/>
      </w:pPr>
    </w:p>
    <w:p w14:paraId="0E126C10" w14:textId="77777777" w:rsidR="00792A53" w:rsidRDefault="00792A53" w:rsidP="00364DC7">
      <w:pPr>
        <w:jc w:val="both"/>
      </w:pPr>
    </w:p>
    <w:p w14:paraId="2AB21BB4" w14:textId="3D21DA05" w:rsidR="00540C34" w:rsidRPr="00E60E83" w:rsidRDefault="00323C3C" w:rsidP="00EE3C6D">
      <w:pPr>
        <w:rPr>
          <w:b/>
          <w:bCs/>
        </w:rPr>
      </w:pPr>
      <w:r>
        <w:rPr>
          <w:b/>
          <w:bCs/>
        </w:rPr>
        <w:t>Fig</w:t>
      </w:r>
      <w:r w:rsidR="0058430D">
        <w:rPr>
          <w:b/>
          <w:bCs/>
        </w:rPr>
        <w:t>.</w:t>
      </w:r>
      <w:r w:rsidR="00801A6E" w:rsidRPr="00E60E83">
        <w:rPr>
          <w:b/>
          <w:bCs/>
        </w:rPr>
        <w:t xml:space="preserve"> 6.6 </w:t>
      </w:r>
      <w:r w:rsidR="0058430D">
        <w:rPr>
          <w:b/>
          <w:bCs/>
        </w:rPr>
        <w:t xml:space="preserve">- </w:t>
      </w:r>
      <w:r w:rsidR="00E60E83" w:rsidRPr="00E60E83">
        <w:rPr>
          <w:b/>
          <w:bCs/>
        </w:rPr>
        <w:t>In futuro aumenterà/migliorerà la presenza online (siti web, social, ecc.)</w:t>
      </w:r>
      <w:r w:rsidR="00E60E83">
        <w:rPr>
          <w:b/>
          <w:bCs/>
        </w:rPr>
        <w:t xml:space="preserve"> per </w:t>
      </w:r>
      <w:r w:rsidR="00E60E83" w:rsidRPr="00833E9A">
        <w:rPr>
          <w:b/>
          <w:bCs/>
        </w:rPr>
        <w:t>aumentare la proiezione internazionale della sua impresa</w:t>
      </w:r>
      <w:r w:rsidR="00E60E83" w:rsidRPr="00E60E83">
        <w:rPr>
          <w:b/>
          <w:bCs/>
        </w:rPr>
        <w:t>? (val %</w:t>
      </w:r>
      <w:r w:rsidR="00670277">
        <w:rPr>
          <w:b/>
          <w:bCs/>
        </w:rPr>
        <w:t xml:space="preserve"> per classe dimensionale</w:t>
      </w:r>
      <w:r w:rsidR="00E60E83" w:rsidRPr="00E60E83">
        <w:rPr>
          <w:b/>
          <w:bCs/>
        </w:rPr>
        <w:t>)</w:t>
      </w:r>
    </w:p>
    <w:p w14:paraId="48389955" w14:textId="49E42503" w:rsidR="005D5A0A" w:rsidRDefault="005D5A0A" w:rsidP="00EE3C6D">
      <w:pPr>
        <w:rPr>
          <w:sz w:val="18"/>
          <w:szCs w:val="18"/>
        </w:rPr>
      </w:pPr>
      <w:r>
        <w:rPr>
          <w:noProof/>
        </w:rPr>
        <w:drawing>
          <wp:inline distT="0" distB="0" distL="0" distR="0" wp14:anchorId="506CBBE8" wp14:editId="125CBBD0">
            <wp:extent cx="6089650" cy="1998784"/>
            <wp:effectExtent l="0" t="0" r="6350" b="1905"/>
            <wp:docPr id="1027049858" name="Grafico 1">
              <a:extLst xmlns:a="http://schemas.openxmlformats.org/drawingml/2006/main">
                <a:ext uri="{FF2B5EF4-FFF2-40B4-BE49-F238E27FC236}">
                  <a16:creationId xmlns:a16="http://schemas.microsoft.com/office/drawing/2014/main" id="{D2B69F66-061F-A355-01FB-7088E9C75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AC595F" w14:textId="320A179C" w:rsidR="00E60E83" w:rsidRPr="00700ED6" w:rsidRDefault="004F075A" w:rsidP="00EE3C6D">
      <w:pPr>
        <w:rPr>
          <w:sz w:val="18"/>
          <w:szCs w:val="18"/>
        </w:rPr>
      </w:pPr>
      <w:r w:rsidRPr="00700ED6">
        <w:rPr>
          <w:sz w:val="18"/>
          <w:szCs w:val="18"/>
        </w:rPr>
        <w:t>Fonte: Fondazione Nord Est (649 casi)</w:t>
      </w:r>
    </w:p>
    <w:p w14:paraId="5715B77A" w14:textId="77777777" w:rsidR="00364DC7" w:rsidRDefault="00364DC7" w:rsidP="00EE3C6D"/>
    <w:p w14:paraId="66920FC5" w14:textId="4E58834E" w:rsidR="00910ADA" w:rsidRPr="007348B7" w:rsidRDefault="00D839C3" w:rsidP="00364DC7">
      <w:pPr>
        <w:jc w:val="both"/>
      </w:pPr>
      <w:r>
        <w:t xml:space="preserve">Meno omogenea </w:t>
      </w:r>
      <w:r w:rsidR="00364DC7">
        <w:t>è la situazione per quanto riguarda invece il marketing digitale,</w:t>
      </w:r>
      <w:r>
        <w:t xml:space="preserve"> ma anche </w:t>
      </w:r>
      <w:r w:rsidR="00B42DD3">
        <w:t xml:space="preserve">in questo caso l’interesse </w:t>
      </w:r>
      <w:r w:rsidR="00857291">
        <w:t xml:space="preserve">verso questi strumenti </w:t>
      </w:r>
      <w:r>
        <w:t>cresce</w:t>
      </w:r>
      <w:r w:rsidR="00B42DD3">
        <w:t xml:space="preserve"> all</w:t>
      </w:r>
      <w:r w:rsidR="004D705D">
        <w:t xml:space="preserve">’aumentare </w:t>
      </w:r>
      <w:r w:rsidR="00857291">
        <w:t>d</w:t>
      </w:r>
      <w:r>
        <w:t>ei ricavi</w:t>
      </w:r>
      <w:r w:rsidR="00857291">
        <w:t xml:space="preserve">. </w:t>
      </w:r>
    </w:p>
    <w:p w14:paraId="06B292C4" w14:textId="77777777" w:rsidR="00364DC7" w:rsidRDefault="00364DC7" w:rsidP="00EE3C6D">
      <w:pPr>
        <w:rPr>
          <w:b/>
          <w:bCs/>
        </w:rPr>
      </w:pPr>
    </w:p>
    <w:p w14:paraId="40253959" w14:textId="77777777" w:rsidR="00364DC7" w:rsidRDefault="00364DC7" w:rsidP="00EE3C6D">
      <w:pPr>
        <w:rPr>
          <w:b/>
          <w:bCs/>
        </w:rPr>
      </w:pPr>
    </w:p>
    <w:p w14:paraId="6984B82C" w14:textId="467255EF" w:rsidR="00E60E83" w:rsidRDefault="00323C3C" w:rsidP="00EE3C6D">
      <w:r>
        <w:rPr>
          <w:b/>
          <w:bCs/>
        </w:rPr>
        <w:t>Fig</w:t>
      </w:r>
      <w:r w:rsidR="0058430D">
        <w:rPr>
          <w:b/>
          <w:bCs/>
        </w:rPr>
        <w:t>.</w:t>
      </w:r>
      <w:r w:rsidR="00E60E83" w:rsidRPr="00E60E83">
        <w:rPr>
          <w:b/>
          <w:bCs/>
        </w:rPr>
        <w:t xml:space="preserve"> 6.</w:t>
      </w:r>
      <w:r w:rsidR="000535E5">
        <w:rPr>
          <w:b/>
          <w:bCs/>
        </w:rPr>
        <w:t>7</w:t>
      </w:r>
      <w:r w:rsidR="00E60E83" w:rsidRPr="00E60E83">
        <w:rPr>
          <w:b/>
          <w:bCs/>
        </w:rPr>
        <w:t xml:space="preserve"> </w:t>
      </w:r>
      <w:r w:rsidR="0058430D">
        <w:rPr>
          <w:b/>
          <w:bCs/>
        </w:rPr>
        <w:t xml:space="preserve">- </w:t>
      </w:r>
      <w:r w:rsidR="00E60E83" w:rsidRPr="00E60E83">
        <w:rPr>
          <w:b/>
          <w:bCs/>
        </w:rPr>
        <w:t xml:space="preserve">In futuro </w:t>
      </w:r>
      <w:r w:rsidR="000535E5">
        <w:rPr>
          <w:b/>
          <w:bCs/>
        </w:rPr>
        <w:t>investirà nel marketing digitale</w:t>
      </w:r>
      <w:r w:rsidR="00E60E83">
        <w:rPr>
          <w:b/>
          <w:bCs/>
        </w:rPr>
        <w:t xml:space="preserve"> per </w:t>
      </w:r>
      <w:r w:rsidR="00E60E83" w:rsidRPr="00833E9A">
        <w:rPr>
          <w:b/>
          <w:bCs/>
        </w:rPr>
        <w:t>aumentare la proiezione internazionale della sua impresa</w:t>
      </w:r>
      <w:r w:rsidR="00E60E83" w:rsidRPr="00E60E83">
        <w:rPr>
          <w:b/>
          <w:bCs/>
        </w:rPr>
        <w:t>?</w:t>
      </w:r>
      <w:r w:rsidR="000535E5">
        <w:rPr>
          <w:b/>
          <w:bCs/>
        </w:rPr>
        <w:t xml:space="preserve"> (val %</w:t>
      </w:r>
      <w:r w:rsidR="00670277">
        <w:rPr>
          <w:b/>
          <w:bCs/>
        </w:rPr>
        <w:t xml:space="preserve"> per classe dimensionale</w:t>
      </w:r>
      <w:r w:rsidR="000535E5">
        <w:rPr>
          <w:b/>
          <w:bCs/>
        </w:rPr>
        <w:t>)</w:t>
      </w:r>
    </w:p>
    <w:p w14:paraId="7E6DE9C9" w14:textId="62CE7F58" w:rsidR="006F0BD4" w:rsidRDefault="006F0BD4" w:rsidP="00EE3C6D">
      <w:pPr>
        <w:rPr>
          <w:sz w:val="18"/>
          <w:szCs w:val="18"/>
        </w:rPr>
      </w:pPr>
      <w:r>
        <w:rPr>
          <w:noProof/>
        </w:rPr>
        <w:drawing>
          <wp:inline distT="0" distB="0" distL="0" distR="0" wp14:anchorId="26F83AF9" wp14:editId="2AD6ED5C">
            <wp:extent cx="6148705" cy="2098431"/>
            <wp:effectExtent l="0" t="0" r="4445" b="0"/>
            <wp:docPr id="1261295574" name="Grafico 1">
              <a:extLst xmlns:a="http://schemas.openxmlformats.org/drawingml/2006/main">
                <a:ext uri="{FF2B5EF4-FFF2-40B4-BE49-F238E27FC236}">
                  <a16:creationId xmlns:a16="http://schemas.microsoft.com/office/drawing/2014/main" id="{D3C908F7-6D51-5797-DDC5-DA3C4CB88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ACA3DF" w14:textId="24F5A2A9" w:rsidR="00801A6E" w:rsidRPr="00700ED6" w:rsidRDefault="004F075A" w:rsidP="00EE3C6D">
      <w:pPr>
        <w:rPr>
          <w:sz w:val="18"/>
          <w:szCs w:val="18"/>
        </w:rPr>
      </w:pPr>
      <w:r w:rsidRPr="00700ED6">
        <w:rPr>
          <w:sz w:val="18"/>
          <w:szCs w:val="18"/>
        </w:rPr>
        <w:t>Fonte: Fondazione Nord Est (649 casi)</w:t>
      </w:r>
    </w:p>
    <w:p w14:paraId="33EA3F61" w14:textId="77777777" w:rsidR="004A473D" w:rsidRDefault="004A473D" w:rsidP="004A473D"/>
    <w:p w14:paraId="24C4DC18" w14:textId="03A18688" w:rsidR="004A473D" w:rsidRDefault="00C70E3B" w:rsidP="004A473D">
      <w:pPr>
        <w:jc w:val="both"/>
      </w:pPr>
      <w:r>
        <w:t>Rispetto agli investimenti nel</w:t>
      </w:r>
      <w:r w:rsidR="004A473D">
        <w:t xml:space="preserve">l’ambito dei software per la gestione dei rischi – anche ambientali – è chiaro come </w:t>
      </w:r>
      <w:r w:rsidR="00E925BD">
        <w:t xml:space="preserve">anche in questo caso </w:t>
      </w:r>
      <w:r w:rsidR="004A473D">
        <w:t>al crescere dei ricavi l’interesse aument</w:t>
      </w:r>
      <w:r>
        <w:t>i. T</w:t>
      </w:r>
      <w:r w:rsidR="004A473D">
        <w:t>ra</w:t>
      </w:r>
      <w:r>
        <w:t xml:space="preserve"> le imprese </w:t>
      </w:r>
      <w:r w:rsidR="0033218C">
        <w:t xml:space="preserve">con più di 50 milioni di </w:t>
      </w:r>
      <w:r w:rsidR="005A5627">
        <w:t>euro</w:t>
      </w:r>
      <w:r w:rsidR="004A473D">
        <w:t xml:space="preserve"> di ricavi </w:t>
      </w:r>
      <w:r w:rsidR="0019412F" w:rsidRPr="00F50A9C">
        <w:t xml:space="preserve">sei imprese su dieci (59,6%) </w:t>
      </w:r>
      <w:r w:rsidR="004A473D" w:rsidRPr="00F50A9C">
        <w:t>afferma</w:t>
      </w:r>
      <w:r w:rsidR="0019412F" w:rsidRPr="00F50A9C">
        <w:t>no</w:t>
      </w:r>
      <w:r w:rsidR="004A473D" w:rsidRPr="00F50A9C">
        <w:t xml:space="preserve"> di voler</w:t>
      </w:r>
      <w:r w:rsidR="004A473D">
        <w:t xml:space="preserve"> investire in questo ambito in futuro</w:t>
      </w:r>
      <w:r w:rsidR="00DF0C01">
        <w:t xml:space="preserve">, un valore di gran lunga più elevato rispetto alle altre classi dimensionali. </w:t>
      </w:r>
    </w:p>
    <w:p w14:paraId="31294DF4" w14:textId="77777777" w:rsidR="00334932" w:rsidRDefault="00334932" w:rsidP="004A473D">
      <w:pPr>
        <w:jc w:val="both"/>
        <w:rPr>
          <w:b/>
          <w:bCs/>
        </w:rPr>
      </w:pPr>
    </w:p>
    <w:p w14:paraId="39347E2A" w14:textId="77777777" w:rsidR="004A473D" w:rsidRDefault="004A473D" w:rsidP="00EE3C6D">
      <w:pPr>
        <w:rPr>
          <w:b/>
          <w:bCs/>
        </w:rPr>
      </w:pPr>
    </w:p>
    <w:p w14:paraId="64ACF29A" w14:textId="14FB4005" w:rsidR="000535E5" w:rsidRDefault="00323C3C" w:rsidP="00EE3C6D">
      <w:r>
        <w:rPr>
          <w:b/>
          <w:bCs/>
        </w:rPr>
        <w:lastRenderedPageBreak/>
        <w:t>Fig</w:t>
      </w:r>
      <w:r w:rsidR="0058430D">
        <w:rPr>
          <w:b/>
          <w:bCs/>
        </w:rPr>
        <w:t>.</w:t>
      </w:r>
      <w:r w:rsidR="000535E5" w:rsidRPr="00E60E83">
        <w:rPr>
          <w:b/>
          <w:bCs/>
        </w:rPr>
        <w:t xml:space="preserve"> 6.</w:t>
      </w:r>
      <w:r w:rsidR="000535E5">
        <w:rPr>
          <w:b/>
          <w:bCs/>
        </w:rPr>
        <w:t>8</w:t>
      </w:r>
      <w:r w:rsidR="0058430D">
        <w:rPr>
          <w:b/>
          <w:bCs/>
        </w:rPr>
        <w:t xml:space="preserve"> -</w:t>
      </w:r>
      <w:r w:rsidR="000535E5" w:rsidRPr="00E60E83">
        <w:rPr>
          <w:b/>
          <w:bCs/>
        </w:rPr>
        <w:t xml:space="preserve"> In futuro</w:t>
      </w:r>
      <w:r w:rsidR="000A1C92" w:rsidRPr="000A1C92">
        <w:t xml:space="preserve"> </w:t>
      </w:r>
      <w:r w:rsidR="000A1C92">
        <w:rPr>
          <w:b/>
          <w:bCs/>
        </w:rPr>
        <w:t>a</w:t>
      </w:r>
      <w:r w:rsidR="000A1C92" w:rsidRPr="000A1C92">
        <w:rPr>
          <w:b/>
          <w:bCs/>
        </w:rPr>
        <w:t>do</w:t>
      </w:r>
      <w:r w:rsidR="000A1C92">
        <w:rPr>
          <w:b/>
          <w:bCs/>
        </w:rPr>
        <w:t>tterà</w:t>
      </w:r>
      <w:r w:rsidR="000A1C92" w:rsidRPr="000A1C92">
        <w:rPr>
          <w:b/>
          <w:bCs/>
        </w:rPr>
        <w:t xml:space="preserve"> software necessari alla mappatura e gestione dei rischi, tra i quali anche quelli di sostenibilità ambientale</w:t>
      </w:r>
      <w:r w:rsidR="000A1C92">
        <w:rPr>
          <w:b/>
          <w:bCs/>
        </w:rPr>
        <w:t>,</w:t>
      </w:r>
      <w:r w:rsidR="000535E5">
        <w:rPr>
          <w:b/>
          <w:bCs/>
        </w:rPr>
        <w:t xml:space="preserve"> per </w:t>
      </w:r>
      <w:r w:rsidR="000535E5" w:rsidRPr="00833E9A">
        <w:rPr>
          <w:b/>
          <w:bCs/>
        </w:rPr>
        <w:t>aumentare la proiezione internazionale della sua impresa</w:t>
      </w:r>
      <w:r w:rsidR="000535E5" w:rsidRPr="00E60E83">
        <w:rPr>
          <w:b/>
          <w:bCs/>
        </w:rPr>
        <w:t>?</w:t>
      </w:r>
      <w:r w:rsidR="000535E5">
        <w:rPr>
          <w:b/>
          <w:bCs/>
        </w:rPr>
        <w:t xml:space="preserve"> (val %</w:t>
      </w:r>
      <w:r w:rsidR="00670277">
        <w:rPr>
          <w:b/>
          <w:bCs/>
        </w:rPr>
        <w:t xml:space="preserve"> per classe dimensionale</w:t>
      </w:r>
      <w:r w:rsidR="000535E5">
        <w:rPr>
          <w:b/>
          <w:bCs/>
        </w:rPr>
        <w:t>)</w:t>
      </w:r>
    </w:p>
    <w:p w14:paraId="6E0FC73F" w14:textId="222E7345" w:rsidR="00A663C8" w:rsidRDefault="00A663C8" w:rsidP="00EE3C6D">
      <w:pPr>
        <w:rPr>
          <w:sz w:val="18"/>
          <w:szCs w:val="18"/>
        </w:rPr>
      </w:pPr>
      <w:r w:rsidRPr="00832F1C">
        <w:rPr>
          <w:noProof/>
          <w:color w:val="FFFFFF" w:themeColor="background1"/>
        </w:rPr>
        <w:drawing>
          <wp:inline distT="0" distB="0" distL="0" distR="0" wp14:anchorId="6B08D609" wp14:editId="0F439DC7">
            <wp:extent cx="6142355" cy="1664677"/>
            <wp:effectExtent l="0" t="0" r="0" b="0"/>
            <wp:docPr id="1079615093" name="Grafico 1">
              <a:extLst xmlns:a="http://schemas.openxmlformats.org/drawingml/2006/main">
                <a:ext uri="{FF2B5EF4-FFF2-40B4-BE49-F238E27FC236}">
                  <a16:creationId xmlns:a16="http://schemas.microsoft.com/office/drawing/2014/main" id="{2E9C5B66-4F76-CE95-74A6-1D0080D79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30817A" w14:textId="5E93FAF7" w:rsidR="001F730F" w:rsidRPr="00700ED6" w:rsidRDefault="001F730F" w:rsidP="00EE3C6D">
      <w:pPr>
        <w:rPr>
          <w:sz w:val="18"/>
          <w:szCs w:val="18"/>
        </w:rPr>
      </w:pPr>
      <w:r w:rsidRPr="00700ED6">
        <w:rPr>
          <w:sz w:val="18"/>
          <w:szCs w:val="18"/>
        </w:rPr>
        <w:t>Fonte: Fondazione Nord Est (649 casi)</w:t>
      </w:r>
    </w:p>
    <w:p w14:paraId="0645EE58" w14:textId="77777777" w:rsidR="00D3312F" w:rsidRDefault="00D3312F" w:rsidP="00EE3C6D"/>
    <w:p w14:paraId="0DACC071" w14:textId="66B2CA00" w:rsidR="002D0272" w:rsidRDefault="00841833" w:rsidP="00841833">
      <w:pPr>
        <w:jc w:val="both"/>
      </w:pPr>
      <w:r>
        <w:t>La</w:t>
      </w:r>
      <w:r w:rsidR="002D0272">
        <w:t xml:space="preserve"> promozione dei prodotti tramite e-commerce</w:t>
      </w:r>
      <w:r>
        <w:t xml:space="preserve"> merita un approfondimento</w:t>
      </w:r>
      <w:r w:rsidR="002D0272">
        <w:t xml:space="preserve">. Esaminando </w:t>
      </w:r>
      <w:r>
        <w:t>le risposte delle imprese</w:t>
      </w:r>
      <w:r w:rsidR="002D0272">
        <w:t xml:space="preserve"> si può osservare come la larghissima maggioranza, e specialmente quelle con </w:t>
      </w:r>
      <w:r w:rsidR="00070541">
        <w:t>i</w:t>
      </w:r>
      <w:r w:rsidR="002D0272">
        <w:t xml:space="preserve"> ricavi</w:t>
      </w:r>
      <w:r w:rsidR="00070541">
        <w:t xml:space="preserve"> più elevati</w:t>
      </w:r>
      <w:r w:rsidR="002D0272">
        <w:t xml:space="preserve">, dichiarino di non aver intenzione di investire in sistemi di e-commerce né propri né su piattaforme di terzi. Se uniamo questi valori alle basse percentuali di imprese che dichiarano di aver già adottato tali sistemi possiamo concludere che l’importanza attribuita a questo tipo di piattaforme è ancora marginale, almeno per quanto riguarda la connessione con l’aumento della propria proiezione internazionale. Il dato </w:t>
      </w:r>
      <w:r w:rsidR="00244585">
        <w:t xml:space="preserve">potrebbe essere spiegato dal fatto che </w:t>
      </w:r>
      <w:r w:rsidR="009A0551">
        <w:t>molte delle imprese che hanno partecipato alla rilevazione lavorano nel canale B2B</w:t>
      </w:r>
      <w:r w:rsidR="002D0272">
        <w:t>.</w:t>
      </w:r>
    </w:p>
    <w:p w14:paraId="37D41C74" w14:textId="77777777" w:rsidR="00701013" w:rsidRDefault="00701013" w:rsidP="00EE3C6D">
      <w:pPr>
        <w:rPr>
          <w:b/>
          <w:bCs/>
        </w:rPr>
      </w:pPr>
    </w:p>
    <w:p w14:paraId="2B6991EB" w14:textId="77777777" w:rsidR="00792A53" w:rsidRDefault="00792A53" w:rsidP="00EE3C6D">
      <w:pPr>
        <w:rPr>
          <w:b/>
          <w:bCs/>
        </w:rPr>
      </w:pPr>
    </w:p>
    <w:p w14:paraId="184D2F88" w14:textId="49286597" w:rsidR="00EE23E6" w:rsidRDefault="00323C3C" w:rsidP="00EE3C6D">
      <w:r>
        <w:rPr>
          <w:b/>
          <w:bCs/>
        </w:rPr>
        <w:t>Fig</w:t>
      </w:r>
      <w:r w:rsidR="0058430D">
        <w:rPr>
          <w:b/>
          <w:bCs/>
        </w:rPr>
        <w:t>.</w:t>
      </w:r>
      <w:r w:rsidR="00EE23E6" w:rsidRPr="00E60E83">
        <w:rPr>
          <w:b/>
          <w:bCs/>
        </w:rPr>
        <w:t xml:space="preserve"> 6.</w:t>
      </w:r>
      <w:r w:rsidR="00EE23E6">
        <w:rPr>
          <w:b/>
          <w:bCs/>
        </w:rPr>
        <w:t>9</w:t>
      </w:r>
      <w:r w:rsidR="0058430D">
        <w:rPr>
          <w:b/>
          <w:bCs/>
        </w:rPr>
        <w:t xml:space="preserve"> -</w:t>
      </w:r>
      <w:r w:rsidR="00EE23E6" w:rsidRPr="00E60E83">
        <w:rPr>
          <w:b/>
          <w:bCs/>
        </w:rPr>
        <w:t xml:space="preserve"> In futuro</w:t>
      </w:r>
      <w:r w:rsidR="00EE23E6" w:rsidRPr="000A1C92">
        <w:t xml:space="preserve"> </w:t>
      </w:r>
      <w:r w:rsidR="00EE23E6">
        <w:rPr>
          <w:b/>
          <w:bCs/>
        </w:rPr>
        <w:t>a</w:t>
      </w:r>
      <w:r w:rsidR="00EE23E6" w:rsidRPr="000A1C92">
        <w:rPr>
          <w:b/>
          <w:bCs/>
        </w:rPr>
        <w:t>do</w:t>
      </w:r>
      <w:r w:rsidR="00EE23E6">
        <w:rPr>
          <w:b/>
          <w:bCs/>
        </w:rPr>
        <w:t>tterà sistemi di</w:t>
      </w:r>
      <w:r w:rsidR="00EE23E6" w:rsidRPr="000A1C92">
        <w:rPr>
          <w:b/>
          <w:bCs/>
        </w:rPr>
        <w:t xml:space="preserve"> </w:t>
      </w:r>
      <w:r w:rsidR="00EE23E6">
        <w:rPr>
          <w:b/>
          <w:bCs/>
        </w:rPr>
        <w:t xml:space="preserve">e-commerce su piattaforma propria per </w:t>
      </w:r>
      <w:r w:rsidR="00EE23E6" w:rsidRPr="00833E9A">
        <w:rPr>
          <w:b/>
          <w:bCs/>
        </w:rPr>
        <w:t>aumentare la proiezione internazionale della sua impresa</w:t>
      </w:r>
      <w:r w:rsidR="00EE23E6" w:rsidRPr="00E60E83">
        <w:rPr>
          <w:b/>
          <w:bCs/>
        </w:rPr>
        <w:t>?</w:t>
      </w:r>
      <w:r w:rsidR="00EE23E6">
        <w:rPr>
          <w:b/>
          <w:bCs/>
        </w:rPr>
        <w:t xml:space="preserve"> (val %</w:t>
      </w:r>
      <w:r w:rsidR="00670277">
        <w:rPr>
          <w:b/>
          <w:bCs/>
        </w:rPr>
        <w:t xml:space="preserve"> per classe dimensionale</w:t>
      </w:r>
      <w:r w:rsidR="00EE23E6">
        <w:rPr>
          <w:b/>
          <w:bCs/>
        </w:rPr>
        <w:t>)</w:t>
      </w:r>
    </w:p>
    <w:p w14:paraId="3CE87188" w14:textId="791E86DC" w:rsidR="00BF08E0" w:rsidRDefault="00BF08E0" w:rsidP="00EE3C6D">
      <w:pPr>
        <w:rPr>
          <w:sz w:val="18"/>
          <w:szCs w:val="18"/>
        </w:rPr>
      </w:pPr>
      <w:r w:rsidRPr="00667DA2">
        <w:rPr>
          <w:noProof/>
          <w:color w:val="FFFFFF" w:themeColor="background1"/>
        </w:rPr>
        <w:drawing>
          <wp:inline distT="0" distB="0" distL="0" distR="0" wp14:anchorId="23289259" wp14:editId="608B2BF9">
            <wp:extent cx="6031230" cy="2086707"/>
            <wp:effectExtent l="0" t="0" r="7620" b="8890"/>
            <wp:docPr id="2124257005" name="Grafico 1">
              <a:extLst xmlns:a="http://schemas.openxmlformats.org/drawingml/2006/main">
                <a:ext uri="{FF2B5EF4-FFF2-40B4-BE49-F238E27FC236}">
                  <a16:creationId xmlns:a16="http://schemas.microsoft.com/office/drawing/2014/main" id="{312C0D4E-BD93-8E9E-F386-16F1CAE30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E36F09" w14:textId="110661F3" w:rsidR="001F730F" w:rsidRPr="00700ED6" w:rsidRDefault="001F730F" w:rsidP="00EE3C6D">
      <w:pPr>
        <w:rPr>
          <w:sz w:val="18"/>
          <w:szCs w:val="18"/>
        </w:rPr>
      </w:pPr>
      <w:r w:rsidRPr="00700ED6">
        <w:rPr>
          <w:sz w:val="18"/>
          <w:szCs w:val="18"/>
        </w:rPr>
        <w:t>Fonte: Fondazione Nord Est (649 casi)</w:t>
      </w:r>
    </w:p>
    <w:p w14:paraId="02E4BED8" w14:textId="2D3FB84E" w:rsidR="00EE23E6" w:rsidRDefault="00EE23E6" w:rsidP="00EE3C6D"/>
    <w:p w14:paraId="50BC496A" w14:textId="77777777" w:rsidR="00792A53" w:rsidRDefault="00792A53" w:rsidP="00EE3C6D"/>
    <w:p w14:paraId="72BB88B0" w14:textId="77777777" w:rsidR="00667DA2" w:rsidRDefault="00667DA2" w:rsidP="00EE3C6D">
      <w:pPr>
        <w:rPr>
          <w:b/>
          <w:bCs/>
        </w:rPr>
      </w:pPr>
    </w:p>
    <w:p w14:paraId="4EEFF9B9" w14:textId="77777777" w:rsidR="00667DA2" w:rsidRDefault="00667DA2" w:rsidP="00EE3C6D">
      <w:pPr>
        <w:rPr>
          <w:b/>
          <w:bCs/>
        </w:rPr>
      </w:pPr>
    </w:p>
    <w:p w14:paraId="6DD18404" w14:textId="77777777" w:rsidR="00667DA2" w:rsidRDefault="00667DA2" w:rsidP="00EE3C6D">
      <w:pPr>
        <w:rPr>
          <w:b/>
          <w:bCs/>
        </w:rPr>
      </w:pPr>
    </w:p>
    <w:p w14:paraId="563D2929" w14:textId="77777777" w:rsidR="00667DA2" w:rsidRDefault="00667DA2" w:rsidP="00EE3C6D">
      <w:pPr>
        <w:rPr>
          <w:b/>
          <w:bCs/>
        </w:rPr>
      </w:pPr>
    </w:p>
    <w:p w14:paraId="39DEF482" w14:textId="77777777" w:rsidR="00667DA2" w:rsidRDefault="00667DA2" w:rsidP="00EE3C6D">
      <w:pPr>
        <w:rPr>
          <w:b/>
          <w:bCs/>
        </w:rPr>
      </w:pPr>
    </w:p>
    <w:p w14:paraId="48A79A21" w14:textId="77777777" w:rsidR="00A761CA" w:rsidRDefault="00A761CA" w:rsidP="00EE3C6D">
      <w:pPr>
        <w:rPr>
          <w:b/>
          <w:bCs/>
        </w:rPr>
      </w:pPr>
    </w:p>
    <w:p w14:paraId="58C3312A" w14:textId="77777777" w:rsidR="00667DA2" w:rsidRDefault="00667DA2" w:rsidP="00EE3C6D">
      <w:pPr>
        <w:rPr>
          <w:b/>
          <w:bCs/>
        </w:rPr>
      </w:pPr>
    </w:p>
    <w:p w14:paraId="20473CF5" w14:textId="646480EB" w:rsidR="00EE23E6" w:rsidRDefault="00323C3C" w:rsidP="00EE3C6D">
      <w:r>
        <w:rPr>
          <w:b/>
          <w:bCs/>
        </w:rPr>
        <w:lastRenderedPageBreak/>
        <w:t>Fig</w:t>
      </w:r>
      <w:r w:rsidR="0058430D">
        <w:rPr>
          <w:b/>
          <w:bCs/>
        </w:rPr>
        <w:t>.</w:t>
      </w:r>
      <w:r w:rsidR="00EE23E6" w:rsidRPr="00E60E83">
        <w:rPr>
          <w:b/>
          <w:bCs/>
        </w:rPr>
        <w:t xml:space="preserve"> 6.</w:t>
      </w:r>
      <w:r w:rsidR="00EE23E6">
        <w:rPr>
          <w:b/>
          <w:bCs/>
        </w:rPr>
        <w:t>10</w:t>
      </w:r>
      <w:r w:rsidR="0058430D">
        <w:rPr>
          <w:b/>
          <w:bCs/>
        </w:rPr>
        <w:t xml:space="preserve"> -</w:t>
      </w:r>
      <w:r w:rsidR="00EE23E6" w:rsidRPr="00E60E83">
        <w:rPr>
          <w:b/>
          <w:bCs/>
        </w:rPr>
        <w:t xml:space="preserve"> In futuro</w:t>
      </w:r>
      <w:r w:rsidR="00EE23E6" w:rsidRPr="000A1C92">
        <w:t xml:space="preserve"> </w:t>
      </w:r>
      <w:r w:rsidR="00EE23E6">
        <w:rPr>
          <w:b/>
          <w:bCs/>
        </w:rPr>
        <w:t>a</w:t>
      </w:r>
      <w:r w:rsidR="00EE23E6" w:rsidRPr="000A1C92">
        <w:rPr>
          <w:b/>
          <w:bCs/>
        </w:rPr>
        <w:t>do</w:t>
      </w:r>
      <w:r w:rsidR="00EE23E6">
        <w:rPr>
          <w:b/>
          <w:bCs/>
        </w:rPr>
        <w:t>tterà sistemi di</w:t>
      </w:r>
      <w:r w:rsidR="00EE23E6" w:rsidRPr="000A1C92">
        <w:rPr>
          <w:b/>
          <w:bCs/>
        </w:rPr>
        <w:t xml:space="preserve"> </w:t>
      </w:r>
      <w:r w:rsidR="00EE23E6">
        <w:rPr>
          <w:b/>
          <w:bCs/>
        </w:rPr>
        <w:t xml:space="preserve">e-commerce su piattaforma </w:t>
      </w:r>
      <w:r w:rsidR="001F730F">
        <w:rPr>
          <w:b/>
          <w:bCs/>
        </w:rPr>
        <w:t>di terzi</w:t>
      </w:r>
      <w:r w:rsidR="00EE23E6">
        <w:rPr>
          <w:b/>
          <w:bCs/>
        </w:rPr>
        <w:t xml:space="preserve"> per </w:t>
      </w:r>
      <w:r w:rsidR="00EE23E6" w:rsidRPr="00833E9A">
        <w:rPr>
          <w:b/>
          <w:bCs/>
        </w:rPr>
        <w:t>aumentare la proiezione internazionale della sua impresa</w:t>
      </w:r>
      <w:r w:rsidR="00EE23E6" w:rsidRPr="00E60E83">
        <w:rPr>
          <w:b/>
          <w:bCs/>
        </w:rPr>
        <w:t>?</w:t>
      </w:r>
      <w:r w:rsidR="00EE23E6">
        <w:rPr>
          <w:b/>
          <w:bCs/>
        </w:rPr>
        <w:t xml:space="preserve"> (val %</w:t>
      </w:r>
      <w:r w:rsidR="00670277">
        <w:rPr>
          <w:b/>
          <w:bCs/>
        </w:rPr>
        <w:t xml:space="preserve"> per classe dimensionale</w:t>
      </w:r>
      <w:r w:rsidR="00EE23E6">
        <w:rPr>
          <w:b/>
          <w:bCs/>
        </w:rPr>
        <w:t>)</w:t>
      </w:r>
    </w:p>
    <w:p w14:paraId="19FC7203" w14:textId="585E6881" w:rsidR="002A6398" w:rsidRDefault="002A6398" w:rsidP="00EE3C6D">
      <w:pPr>
        <w:rPr>
          <w:sz w:val="18"/>
          <w:szCs w:val="18"/>
        </w:rPr>
      </w:pPr>
      <w:r>
        <w:rPr>
          <w:noProof/>
        </w:rPr>
        <w:drawing>
          <wp:inline distT="0" distB="0" distL="0" distR="0" wp14:anchorId="38DBFD39" wp14:editId="081D2117">
            <wp:extent cx="6078220" cy="1805354"/>
            <wp:effectExtent l="0" t="0" r="0" b="4445"/>
            <wp:docPr id="219609486" name="Grafico 1">
              <a:extLst xmlns:a="http://schemas.openxmlformats.org/drawingml/2006/main">
                <a:ext uri="{FF2B5EF4-FFF2-40B4-BE49-F238E27FC236}">
                  <a16:creationId xmlns:a16="http://schemas.microsoft.com/office/drawing/2014/main" id="{E3354968-904B-0A4B-2F2E-2032D3104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483DBE" w14:textId="7967B0F4" w:rsidR="001F730F" w:rsidRPr="00700ED6" w:rsidRDefault="001F730F" w:rsidP="00EE3C6D">
      <w:pPr>
        <w:rPr>
          <w:sz w:val="18"/>
          <w:szCs w:val="18"/>
        </w:rPr>
      </w:pPr>
      <w:r w:rsidRPr="00700ED6">
        <w:rPr>
          <w:sz w:val="18"/>
          <w:szCs w:val="18"/>
        </w:rPr>
        <w:t>Fonte: Fondazione Nord Est (649 casi)</w:t>
      </w:r>
    </w:p>
    <w:p w14:paraId="66D58252" w14:textId="77777777" w:rsidR="00BB18E8" w:rsidRDefault="00BB18E8" w:rsidP="00EE3C6D"/>
    <w:p w14:paraId="0DC79C20" w14:textId="4D7CBC4F" w:rsidR="00BB18E8" w:rsidRPr="00562B74" w:rsidRDefault="00E96BDE" w:rsidP="00562B74">
      <w:pPr>
        <w:jc w:val="both"/>
      </w:pPr>
      <w:r w:rsidRPr="00562B74">
        <w:t>In aggiunta d</w:t>
      </w:r>
      <w:r w:rsidR="00836DC2" w:rsidRPr="00562B74">
        <w:t>all'analisi delle stesse risposte circa la digitalizzazione</w:t>
      </w:r>
      <w:r w:rsidR="007F41A1" w:rsidRPr="00562B74">
        <w:t xml:space="preserve"> –</w:t>
      </w:r>
      <w:r w:rsidR="00836DC2" w:rsidRPr="00562B74">
        <w:t xml:space="preserve"> incrociate questa volta per il macrosettore</w:t>
      </w:r>
      <w:r w:rsidR="007F41A1" w:rsidRPr="00562B74">
        <w:t xml:space="preserve"> –</w:t>
      </w:r>
      <w:r w:rsidR="00836DC2" w:rsidRPr="00562B74">
        <w:t xml:space="preserve"> si evince che il comparto metalmeccanico attribuisce maggiore rilevanza alla gestione automatizzata degli ordini e al supporto clienti. Per di più, circa l'adozione di strumenti digitali, il macrosettore della metalmeccanica riporta di aver già adottato - più degli altri settori - strategie digitali per quanto riguarda il miglioramento della propria presenza online e di voler implementare la formazione a distanza e l'offerta di servizi virtuali, mentre risulta meno intenzionato ad operare tramite sistemi di e-commerce su piattaforme di terzi.</w:t>
      </w:r>
    </w:p>
    <w:p w14:paraId="1E5C0869" w14:textId="77777777" w:rsidR="00BB18E8" w:rsidRDefault="00BB18E8" w:rsidP="00EE3C6D"/>
    <w:p w14:paraId="70929899" w14:textId="77777777" w:rsidR="00BB18E8" w:rsidRDefault="00BB18E8" w:rsidP="00EE3C6D"/>
    <w:p w14:paraId="74D8A6BB" w14:textId="77777777" w:rsidR="00E249A5" w:rsidRDefault="00E249A5" w:rsidP="00B96BEE"/>
    <w:p w14:paraId="27F6A18E" w14:textId="0FB22165" w:rsidR="00084AA2" w:rsidRPr="00BA2A79" w:rsidRDefault="00084AA2" w:rsidP="00A5251B">
      <w:pPr>
        <w:spacing w:after="160"/>
      </w:pPr>
    </w:p>
    <w:p w14:paraId="15948C4E" w14:textId="7A9B3AE5" w:rsidR="00084AA2" w:rsidRPr="00BA2A79" w:rsidRDefault="00084AA2" w:rsidP="00EE3C6D">
      <w:r w:rsidRPr="00BA2A79">
        <w:br w:type="page"/>
      </w:r>
    </w:p>
    <w:p w14:paraId="165AF30D" w14:textId="5A1BC63A" w:rsidR="00DB4C7F" w:rsidRPr="00015C88" w:rsidRDefault="002472DB" w:rsidP="00075241">
      <w:pPr>
        <w:pStyle w:val="Titolo2"/>
      </w:pPr>
      <w:bookmarkStart w:id="15" w:name="_Toc157430705"/>
      <w:r w:rsidRPr="00015C88">
        <w:lastRenderedPageBreak/>
        <w:t>Nota metodologica</w:t>
      </w:r>
      <w:bookmarkEnd w:id="15"/>
    </w:p>
    <w:p w14:paraId="7D0A6FC6" w14:textId="77777777" w:rsidR="002472DB" w:rsidRDefault="002472DB" w:rsidP="006B614A">
      <w:pPr>
        <w:spacing w:line="240" w:lineRule="auto"/>
      </w:pPr>
    </w:p>
    <w:p w14:paraId="4060767F" w14:textId="77777777" w:rsidR="0025121C" w:rsidRPr="00015C88" w:rsidRDefault="0025121C" w:rsidP="006B614A">
      <w:pPr>
        <w:spacing w:line="240" w:lineRule="auto"/>
      </w:pPr>
    </w:p>
    <w:p w14:paraId="2B700728" w14:textId="054E00C1" w:rsidR="00AD2DD7" w:rsidRPr="00AD2DD7" w:rsidRDefault="001E25E1" w:rsidP="0019412F">
      <w:pPr>
        <w:jc w:val="both"/>
        <w:rPr>
          <w:rFonts w:cstheme="minorHAnsi"/>
        </w:rPr>
      </w:pPr>
      <w:r w:rsidRPr="00AD2DD7">
        <w:rPr>
          <w:rFonts w:cstheme="minorHAnsi"/>
        </w:rPr>
        <w:t>L’universo dal quale si è partiti è costituito dalle società manifatturiere (codice Ateco 10-33)</w:t>
      </w:r>
      <w:r w:rsidR="00602E84" w:rsidRPr="00AD2DD7">
        <w:rPr>
          <w:rFonts w:cstheme="minorHAnsi"/>
        </w:rPr>
        <w:t xml:space="preserve"> iscritte a Confindustria Veneto Est</w:t>
      </w:r>
      <w:r w:rsidRPr="00AD2DD7">
        <w:rPr>
          <w:rFonts w:cstheme="minorHAnsi"/>
        </w:rPr>
        <w:t xml:space="preserve">. Alla rilevazione hanno partecipato </w:t>
      </w:r>
      <w:r w:rsidR="002A146C" w:rsidRPr="00AD2DD7">
        <w:rPr>
          <w:rFonts w:cstheme="minorHAnsi"/>
        </w:rPr>
        <w:t>649</w:t>
      </w:r>
      <w:r w:rsidRPr="00AD2DD7">
        <w:rPr>
          <w:rFonts w:cstheme="minorHAnsi"/>
        </w:rPr>
        <w:t xml:space="preserve"> imprese che fanno riferimento </w:t>
      </w:r>
      <w:r w:rsidR="000C74E6" w:rsidRPr="00AD2DD7">
        <w:rPr>
          <w:rFonts w:cstheme="minorHAnsi"/>
        </w:rPr>
        <w:t>per il 45,6%</w:t>
      </w:r>
      <w:r w:rsidRPr="00AD2DD7">
        <w:rPr>
          <w:rFonts w:cstheme="minorHAnsi"/>
        </w:rPr>
        <w:t xml:space="preserve"> al comparto metalmeccanico. </w:t>
      </w:r>
      <w:r w:rsidR="00AD2DD7" w:rsidRPr="00AD2DD7">
        <w:rPr>
          <w:rFonts w:cstheme="minorHAnsi"/>
        </w:rPr>
        <w:t xml:space="preserve">Le imprese metalmeccaniche superano il valore medio – 44,9% – solo tra le imprese con ricavi inclusi tra i due e i dieci milioni di </w:t>
      </w:r>
      <w:r w:rsidR="0085377B" w:rsidRPr="00700ED6">
        <w:rPr>
          <w:rFonts w:cstheme="minorHAnsi"/>
        </w:rPr>
        <w:t>euro</w:t>
      </w:r>
      <w:r w:rsidR="00AD2DD7" w:rsidRPr="00AD2DD7">
        <w:rPr>
          <w:rFonts w:cstheme="minorHAnsi"/>
        </w:rPr>
        <w:t xml:space="preserve">, mentre le imprese appartenenti ad altri settori spiccano per densità nelle classi di fatturato più elevate, con ricavi oltre i 25 milioni di </w:t>
      </w:r>
      <w:r w:rsidR="00C56B72" w:rsidRPr="00700ED6">
        <w:rPr>
          <w:rFonts w:cstheme="minorHAnsi"/>
        </w:rPr>
        <w:t>euro</w:t>
      </w:r>
      <w:r w:rsidR="00AD2DD7" w:rsidRPr="00AD2DD7">
        <w:rPr>
          <w:rFonts w:cstheme="minorHAnsi"/>
        </w:rPr>
        <w:t xml:space="preserve"> (Tab. A1).</w:t>
      </w:r>
    </w:p>
    <w:p w14:paraId="686756E6" w14:textId="77777777" w:rsidR="00792A53" w:rsidRDefault="00792A53" w:rsidP="006B614A">
      <w:pPr>
        <w:spacing w:line="240" w:lineRule="auto"/>
      </w:pPr>
    </w:p>
    <w:p w14:paraId="53E9DE69" w14:textId="77777777" w:rsidR="00445632" w:rsidRDefault="00445632" w:rsidP="006B614A">
      <w:pPr>
        <w:spacing w:line="240" w:lineRule="auto"/>
      </w:pPr>
    </w:p>
    <w:p w14:paraId="41398E57" w14:textId="684C5871" w:rsidR="006B614A" w:rsidRPr="00593EE0" w:rsidRDefault="006B614A" w:rsidP="006B614A">
      <w:pPr>
        <w:spacing w:line="240" w:lineRule="auto"/>
        <w:rPr>
          <w:b/>
          <w:bCs/>
        </w:rPr>
      </w:pPr>
      <w:r>
        <w:rPr>
          <w:b/>
          <w:bCs/>
        </w:rPr>
        <w:t>Tab. A.1 - N</w:t>
      </w:r>
      <w:r w:rsidRPr="00537D0A">
        <w:rPr>
          <w:b/>
          <w:bCs/>
        </w:rPr>
        <w:t xml:space="preserve">umerosità di imprese per </w:t>
      </w:r>
      <w:r>
        <w:rPr>
          <w:b/>
          <w:bCs/>
        </w:rPr>
        <w:t>macrosettore e classe di fatturato (valori percentuali)</w:t>
      </w:r>
    </w:p>
    <w:tbl>
      <w:tblPr>
        <w:tblpPr w:leftFromText="141" w:rightFromText="141" w:vertAnchor="text" w:horzAnchor="margin" w:tblpXSpec="center"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0"/>
        <w:gridCol w:w="1065"/>
        <w:gridCol w:w="1067"/>
        <w:gridCol w:w="1086"/>
        <w:gridCol w:w="1086"/>
        <w:gridCol w:w="1069"/>
        <w:gridCol w:w="1065"/>
      </w:tblGrid>
      <w:tr w:rsidR="006B614A" w:rsidRPr="00AD2DD7" w14:paraId="70C004D6" w14:textId="77777777" w:rsidTr="00057116">
        <w:trPr>
          <w:trHeight w:val="264"/>
        </w:trPr>
        <w:tc>
          <w:tcPr>
            <w:tcW w:w="1657" w:type="pct"/>
            <w:shd w:val="clear" w:color="auto" w:fill="auto"/>
            <w:noWrap/>
            <w:vAlign w:val="bottom"/>
            <w:hideMark/>
          </w:tcPr>
          <w:p w14:paraId="5816850F" w14:textId="77777777" w:rsidR="006B614A" w:rsidRPr="0073602A" w:rsidRDefault="006B614A" w:rsidP="006B614A">
            <w:pPr>
              <w:spacing w:line="240" w:lineRule="auto"/>
              <w:rPr>
                <w:rFonts w:ascii="Arial" w:eastAsia="Times New Roman" w:hAnsi="Arial" w:cs="Arial"/>
                <w:kern w:val="0"/>
                <w:sz w:val="20"/>
                <w:szCs w:val="20"/>
                <w:lang w:eastAsia="it-IT"/>
                <w14:ligatures w14:val="none"/>
              </w:rPr>
            </w:pPr>
            <w:r>
              <w:rPr>
                <w:rFonts w:ascii="Arial" w:eastAsia="Times New Roman" w:hAnsi="Arial" w:cs="Arial"/>
                <w:kern w:val="0"/>
                <w:sz w:val="20"/>
                <w:szCs w:val="20"/>
                <w:lang w:eastAsia="it-IT"/>
                <w14:ligatures w14:val="none"/>
              </w:rPr>
              <w:t>Classe di fatturato (milioni di euro)</w:t>
            </w:r>
          </w:p>
        </w:tc>
        <w:tc>
          <w:tcPr>
            <w:tcW w:w="553" w:type="pct"/>
            <w:shd w:val="clear" w:color="auto" w:fill="auto"/>
            <w:noWrap/>
            <w:hideMark/>
          </w:tcPr>
          <w:p w14:paraId="72FB680A"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41004E">
              <w:rPr>
                <w:rFonts w:ascii="Arial" w:eastAsia="Times New Roman" w:hAnsi="Arial" w:cs="Arial"/>
                <w:color w:val="000000"/>
                <w:kern w:val="0"/>
                <w:sz w:val="20"/>
                <w:szCs w:val="20"/>
                <w:lang w:eastAsia="it-IT"/>
                <w14:ligatures w14:val="none"/>
              </w:rPr>
              <w:t xml:space="preserve">fino a 2 </w:t>
            </w:r>
          </w:p>
        </w:tc>
        <w:tc>
          <w:tcPr>
            <w:tcW w:w="554" w:type="pct"/>
            <w:shd w:val="clear" w:color="auto" w:fill="auto"/>
            <w:noWrap/>
            <w:hideMark/>
          </w:tcPr>
          <w:p w14:paraId="31D32E70"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41004E">
              <w:rPr>
                <w:rFonts w:ascii="Arial" w:eastAsia="Times New Roman" w:hAnsi="Arial" w:cs="Arial"/>
                <w:color w:val="000000"/>
                <w:kern w:val="0"/>
                <w:sz w:val="20"/>
                <w:szCs w:val="20"/>
                <w:lang w:eastAsia="it-IT"/>
                <w14:ligatures w14:val="none"/>
              </w:rPr>
              <w:t xml:space="preserve">da 2 a 10 </w:t>
            </w:r>
          </w:p>
        </w:tc>
        <w:tc>
          <w:tcPr>
            <w:tcW w:w="564" w:type="pct"/>
            <w:shd w:val="clear" w:color="auto" w:fill="auto"/>
            <w:noWrap/>
            <w:hideMark/>
          </w:tcPr>
          <w:p w14:paraId="0DA93A42"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41004E">
              <w:rPr>
                <w:rFonts w:ascii="Arial" w:eastAsia="Times New Roman" w:hAnsi="Arial" w:cs="Arial"/>
                <w:color w:val="000000"/>
                <w:kern w:val="0"/>
                <w:sz w:val="20"/>
                <w:szCs w:val="20"/>
                <w:lang w:eastAsia="it-IT"/>
                <w14:ligatures w14:val="none"/>
              </w:rPr>
              <w:t xml:space="preserve">da 10 a 25 </w:t>
            </w:r>
          </w:p>
        </w:tc>
        <w:tc>
          <w:tcPr>
            <w:tcW w:w="564" w:type="pct"/>
            <w:shd w:val="clear" w:color="auto" w:fill="auto"/>
            <w:noWrap/>
            <w:hideMark/>
          </w:tcPr>
          <w:p w14:paraId="302CB8F7"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41004E">
              <w:rPr>
                <w:rFonts w:ascii="Arial" w:eastAsia="Times New Roman" w:hAnsi="Arial" w:cs="Arial"/>
                <w:color w:val="000000"/>
                <w:kern w:val="0"/>
                <w:sz w:val="20"/>
                <w:szCs w:val="20"/>
                <w:lang w:eastAsia="it-IT"/>
                <w14:ligatures w14:val="none"/>
              </w:rPr>
              <w:t xml:space="preserve">da 25 a 50 </w:t>
            </w:r>
          </w:p>
        </w:tc>
        <w:tc>
          <w:tcPr>
            <w:tcW w:w="555" w:type="pct"/>
            <w:shd w:val="clear" w:color="auto" w:fill="auto"/>
            <w:noWrap/>
            <w:hideMark/>
          </w:tcPr>
          <w:p w14:paraId="3EC09E0B"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41004E">
              <w:rPr>
                <w:rFonts w:ascii="Arial" w:eastAsia="Times New Roman" w:hAnsi="Arial" w:cs="Arial"/>
                <w:color w:val="000000"/>
                <w:kern w:val="0"/>
                <w:sz w:val="20"/>
                <w:szCs w:val="20"/>
                <w:lang w:eastAsia="it-IT"/>
                <w14:ligatures w14:val="none"/>
              </w:rPr>
              <w:t xml:space="preserve">oltre 50 </w:t>
            </w:r>
          </w:p>
        </w:tc>
        <w:tc>
          <w:tcPr>
            <w:tcW w:w="554" w:type="pct"/>
            <w:shd w:val="clear" w:color="auto" w:fill="auto"/>
            <w:noWrap/>
            <w:hideMark/>
          </w:tcPr>
          <w:p w14:paraId="7E7BDC51" w14:textId="70065F74"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Pr>
                <w:rFonts w:ascii="Arial" w:eastAsia="Times New Roman" w:hAnsi="Arial" w:cs="Arial"/>
                <w:kern w:val="0"/>
                <w:sz w:val="20"/>
                <w:szCs w:val="20"/>
                <w:lang w:eastAsia="it-IT"/>
                <w14:ligatures w14:val="none"/>
              </w:rPr>
              <w:t>Tutte</w:t>
            </w:r>
          </w:p>
        </w:tc>
      </w:tr>
      <w:tr w:rsidR="006B614A" w:rsidRPr="00AD2DD7" w14:paraId="7122499B" w14:textId="77777777" w:rsidTr="00057116">
        <w:trPr>
          <w:trHeight w:val="264"/>
        </w:trPr>
        <w:tc>
          <w:tcPr>
            <w:tcW w:w="1657" w:type="pct"/>
            <w:shd w:val="clear" w:color="auto" w:fill="auto"/>
            <w:noWrap/>
            <w:hideMark/>
          </w:tcPr>
          <w:p w14:paraId="118677DC" w14:textId="77777777" w:rsidR="006B614A" w:rsidRPr="0073602A" w:rsidRDefault="006B614A" w:rsidP="006B614A">
            <w:pPr>
              <w:spacing w:line="240" w:lineRule="auto"/>
              <w:rPr>
                <w:rFonts w:ascii="Arial" w:eastAsia="Times New Roman" w:hAnsi="Arial" w:cs="Arial"/>
                <w:kern w:val="0"/>
                <w:sz w:val="20"/>
                <w:szCs w:val="20"/>
                <w:lang w:eastAsia="it-IT"/>
                <w14:ligatures w14:val="none"/>
              </w:rPr>
            </w:pPr>
            <w:r>
              <w:rPr>
                <w:rFonts w:ascii="Arial" w:eastAsia="Times New Roman" w:hAnsi="Arial" w:cs="Arial"/>
                <w:kern w:val="0"/>
                <w:sz w:val="20"/>
                <w:szCs w:val="20"/>
                <w:lang w:eastAsia="it-IT"/>
                <w14:ligatures w14:val="none"/>
              </w:rPr>
              <w:t>A</w:t>
            </w:r>
            <w:r w:rsidRPr="0073602A">
              <w:rPr>
                <w:rFonts w:ascii="Arial" w:eastAsia="Times New Roman" w:hAnsi="Arial" w:cs="Arial"/>
                <w:kern w:val="0"/>
                <w:sz w:val="20"/>
                <w:szCs w:val="20"/>
                <w:lang w:eastAsia="it-IT"/>
                <w14:ligatures w14:val="none"/>
              </w:rPr>
              <w:t>ltro</w:t>
            </w:r>
          </w:p>
        </w:tc>
        <w:tc>
          <w:tcPr>
            <w:tcW w:w="553" w:type="pct"/>
            <w:shd w:val="clear" w:color="000000" w:fill="4DC885"/>
            <w:noWrap/>
            <w:hideMark/>
          </w:tcPr>
          <w:p w14:paraId="6EB0FEF9"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57,3</w:t>
            </w:r>
          </w:p>
        </w:tc>
        <w:tc>
          <w:tcPr>
            <w:tcW w:w="554" w:type="pct"/>
            <w:shd w:val="clear" w:color="000000" w:fill="BBEAD0"/>
            <w:noWrap/>
            <w:hideMark/>
          </w:tcPr>
          <w:p w14:paraId="17327E4F"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49,7</w:t>
            </w:r>
          </w:p>
        </w:tc>
        <w:tc>
          <w:tcPr>
            <w:tcW w:w="564" w:type="pct"/>
            <w:shd w:val="clear" w:color="000000" w:fill="59CC8E"/>
            <w:noWrap/>
            <w:hideMark/>
          </w:tcPr>
          <w:p w14:paraId="07246D40"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56,5</w:t>
            </w:r>
          </w:p>
        </w:tc>
        <w:tc>
          <w:tcPr>
            <w:tcW w:w="564" w:type="pct"/>
            <w:shd w:val="clear" w:color="000000" w:fill="00B050"/>
            <w:noWrap/>
            <w:hideMark/>
          </w:tcPr>
          <w:p w14:paraId="1B7FEDD8"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62,6</w:t>
            </w:r>
          </w:p>
        </w:tc>
        <w:tc>
          <w:tcPr>
            <w:tcW w:w="555" w:type="pct"/>
            <w:shd w:val="clear" w:color="000000" w:fill="18B860"/>
            <w:noWrap/>
            <w:hideMark/>
          </w:tcPr>
          <w:p w14:paraId="15D436C9"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61,0</w:t>
            </w:r>
          </w:p>
        </w:tc>
        <w:tc>
          <w:tcPr>
            <w:tcW w:w="554" w:type="pct"/>
            <w:shd w:val="clear" w:color="auto" w:fill="auto"/>
            <w:noWrap/>
            <w:hideMark/>
          </w:tcPr>
          <w:p w14:paraId="09468328"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55,1</w:t>
            </w:r>
          </w:p>
        </w:tc>
      </w:tr>
      <w:tr w:rsidR="006B614A" w:rsidRPr="00AD2DD7" w14:paraId="6838BC1C" w14:textId="77777777" w:rsidTr="00057116">
        <w:trPr>
          <w:trHeight w:val="264"/>
        </w:trPr>
        <w:tc>
          <w:tcPr>
            <w:tcW w:w="1657" w:type="pct"/>
            <w:shd w:val="clear" w:color="auto" w:fill="auto"/>
            <w:noWrap/>
            <w:hideMark/>
          </w:tcPr>
          <w:p w14:paraId="4B6EA25D" w14:textId="77777777" w:rsidR="006B614A" w:rsidRPr="0073602A" w:rsidRDefault="006B614A" w:rsidP="006B614A">
            <w:pPr>
              <w:spacing w:line="240" w:lineRule="auto"/>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Metalmeccanica</w:t>
            </w:r>
          </w:p>
        </w:tc>
        <w:tc>
          <w:tcPr>
            <w:tcW w:w="553" w:type="pct"/>
            <w:shd w:val="clear" w:color="000000" w:fill="FFFFFF"/>
            <w:noWrap/>
            <w:hideMark/>
          </w:tcPr>
          <w:p w14:paraId="6E57A8B8"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42,7</w:t>
            </w:r>
          </w:p>
        </w:tc>
        <w:tc>
          <w:tcPr>
            <w:tcW w:w="554" w:type="pct"/>
            <w:shd w:val="clear" w:color="000000" w:fill="B3E8CB"/>
            <w:noWrap/>
            <w:hideMark/>
          </w:tcPr>
          <w:p w14:paraId="33F07A01"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50,3</w:t>
            </w:r>
          </w:p>
        </w:tc>
        <w:tc>
          <w:tcPr>
            <w:tcW w:w="564" w:type="pct"/>
            <w:shd w:val="clear" w:color="000000" w:fill="FFFFFF"/>
            <w:noWrap/>
            <w:hideMark/>
          </w:tcPr>
          <w:p w14:paraId="2B854637"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43,5</w:t>
            </w:r>
          </w:p>
        </w:tc>
        <w:tc>
          <w:tcPr>
            <w:tcW w:w="564" w:type="pct"/>
            <w:shd w:val="clear" w:color="000000" w:fill="FFFFFF"/>
            <w:noWrap/>
            <w:hideMark/>
          </w:tcPr>
          <w:p w14:paraId="32E37B41"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37,4</w:t>
            </w:r>
          </w:p>
        </w:tc>
        <w:tc>
          <w:tcPr>
            <w:tcW w:w="555" w:type="pct"/>
            <w:shd w:val="clear" w:color="000000" w:fill="FFFFFF"/>
            <w:noWrap/>
            <w:hideMark/>
          </w:tcPr>
          <w:p w14:paraId="5BFC4D32"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39,0</w:t>
            </w:r>
          </w:p>
        </w:tc>
        <w:tc>
          <w:tcPr>
            <w:tcW w:w="554" w:type="pct"/>
            <w:shd w:val="clear" w:color="auto" w:fill="auto"/>
            <w:noWrap/>
            <w:hideMark/>
          </w:tcPr>
          <w:p w14:paraId="792A562C" w14:textId="77777777" w:rsidR="006B614A" w:rsidRPr="0073602A" w:rsidRDefault="006B614A" w:rsidP="006B614A">
            <w:pPr>
              <w:spacing w:line="240" w:lineRule="auto"/>
              <w:jc w:val="center"/>
              <w:rPr>
                <w:rFonts w:ascii="Arial" w:eastAsia="Times New Roman" w:hAnsi="Arial" w:cs="Arial"/>
                <w:kern w:val="0"/>
                <w:sz w:val="20"/>
                <w:szCs w:val="20"/>
                <w:lang w:eastAsia="it-IT"/>
                <w14:ligatures w14:val="none"/>
              </w:rPr>
            </w:pPr>
            <w:r w:rsidRPr="0073602A">
              <w:rPr>
                <w:rFonts w:ascii="Arial" w:eastAsia="Times New Roman" w:hAnsi="Arial" w:cs="Arial"/>
                <w:kern w:val="0"/>
                <w:sz w:val="20"/>
                <w:szCs w:val="20"/>
                <w:lang w:eastAsia="it-IT"/>
                <w14:ligatures w14:val="none"/>
              </w:rPr>
              <w:t>44,9</w:t>
            </w:r>
          </w:p>
        </w:tc>
      </w:tr>
    </w:tbl>
    <w:p w14:paraId="63956E30" w14:textId="77777777" w:rsidR="006B614A" w:rsidRPr="00AD2DD7" w:rsidRDefault="006B614A" w:rsidP="006B614A">
      <w:pPr>
        <w:spacing w:line="240" w:lineRule="auto"/>
      </w:pPr>
      <w:r w:rsidRPr="00AD2DD7">
        <w:t>Fonte: Fondazione Nord Est (649 casi)</w:t>
      </w:r>
    </w:p>
    <w:p w14:paraId="504204B0" w14:textId="77777777" w:rsidR="006B614A" w:rsidRDefault="006B614A" w:rsidP="006B614A">
      <w:pPr>
        <w:spacing w:line="240" w:lineRule="auto"/>
        <w:jc w:val="both"/>
      </w:pPr>
    </w:p>
    <w:p w14:paraId="595C598B" w14:textId="77777777" w:rsidR="0097019C" w:rsidRDefault="0097019C" w:rsidP="0019412F">
      <w:pPr>
        <w:spacing w:line="240" w:lineRule="auto"/>
        <w:jc w:val="both"/>
      </w:pPr>
      <w:r>
        <w:t>Il 55% delle imprese ha meno di 50 addetti, poco più di una su tre</w:t>
      </w:r>
      <w:r w:rsidRPr="00015C88">
        <w:t xml:space="preserve"> </w:t>
      </w:r>
      <w:r>
        <w:t>ne ha tra i 50 e i 249 e quasi il 9% ha più di 250 addetti.</w:t>
      </w:r>
    </w:p>
    <w:p w14:paraId="0AFE98FB" w14:textId="77777777" w:rsidR="0097019C" w:rsidRDefault="0097019C" w:rsidP="0019412F">
      <w:pPr>
        <w:spacing w:line="240" w:lineRule="auto"/>
        <w:jc w:val="both"/>
      </w:pPr>
    </w:p>
    <w:p w14:paraId="3669440F" w14:textId="75C2BEBA" w:rsidR="00B3370C" w:rsidRDefault="00550B4B" w:rsidP="0019412F">
      <w:pPr>
        <w:spacing w:line="240" w:lineRule="auto"/>
        <w:jc w:val="both"/>
      </w:pPr>
      <w:r>
        <w:t xml:space="preserve">Per quanto riguarda la </w:t>
      </w:r>
      <w:r w:rsidRPr="00F50A9C">
        <w:t>distribuzione rispetto alle sedi territoriali quasi un’impresa su tre a</w:t>
      </w:r>
      <w:r w:rsidR="007A0608" w:rsidRPr="00F50A9C">
        <w:t xml:space="preserve">fferisce </w:t>
      </w:r>
      <w:r w:rsidR="0019412F" w:rsidRPr="00F50A9C">
        <w:t xml:space="preserve">al territorio </w:t>
      </w:r>
      <w:r w:rsidR="007A0608" w:rsidRPr="00F50A9C">
        <w:t>di Padova</w:t>
      </w:r>
      <w:r w:rsidR="00962673" w:rsidRPr="00F50A9C">
        <w:t xml:space="preserve"> (31,2%)</w:t>
      </w:r>
      <w:r w:rsidR="007A0608" w:rsidRPr="00F50A9C">
        <w:t xml:space="preserve">, </w:t>
      </w:r>
      <w:r w:rsidR="00962673" w:rsidRPr="00F50A9C">
        <w:t xml:space="preserve">quasi la metà </w:t>
      </w:r>
      <w:r w:rsidR="007A0608" w:rsidRPr="00F50A9C">
        <w:t>a quell</w:t>
      </w:r>
      <w:r w:rsidR="0019412F" w:rsidRPr="00F50A9C">
        <w:t>o</w:t>
      </w:r>
      <w:r w:rsidR="007A0608" w:rsidRPr="00F50A9C">
        <w:t xml:space="preserve"> di Treviso</w:t>
      </w:r>
      <w:r w:rsidR="00962673" w:rsidRPr="00F50A9C">
        <w:t xml:space="preserve"> (48,8%)</w:t>
      </w:r>
      <w:r w:rsidR="007A0608" w:rsidRPr="00F50A9C">
        <w:t xml:space="preserve">, il </w:t>
      </w:r>
      <w:r w:rsidR="00035562" w:rsidRPr="00F50A9C">
        <w:t>14,5%</w:t>
      </w:r>
      <w:r w:rsidR="007A0608" w:rsidRPr="00F50A9C">
        <w:t xml:space="preserve"> a quell</w:t>
      </w:r>
      <w:r w:rsidR="0019412F" w:rsidRPr="00F50A9C">
        <w:t>o</w:t>
      </w:r>
      <w:r w:rsidR="007A0608" w:rsidRPr="00F50A9C">
        <w:t xml:space="preserve"> di Venezia e il </w:t>
      </w:r>
      <w:r w:rsidR="00035562" w:rsidRPr="00F50A9C">
        <w:t>5,5</w:t>
      </w:r>
      <w:r w:rsidR="007A0608" w:rsidRPr="00F50A9C">
        <w:t>% a quell</w:t>
      </w:r>
      <w:r w:rsidR="0019412F" w:rsidRPr="00F50A9C">
        <w:t>o</w:t>
      </w:r>
      <w:r w:rsidR="007A0608" w:rsidRPr="00F50A9C">
        <w:t xml:space="preserve"> di Rovigo.</w:t>
      </w:r>
    </w:p>
    <w:p w14:paraId="73DEB23F" w14:textId="77777777" w:rsidR="003C0AAA" w:rsidRDefault="003C0AAA" w:rsidP="0019412F">
      <w:pPr>
        <w:spacing w:line="240" w:lineRule="auto"/>
        <w:jc w:val="both"/>
      </w:pPr>
    </w:p>
    <w:p w14:paraId="5063E247" w14:textId="5F9F0DBB" w:rsidR="005B0C53" w:rsidRDefault="0041696D" w:rsidP="0019412F">
      <w:pPr>
        <w:spacing w:line="240" w:lineRule="auto"/>
        <w:jc w:val="both"/>
      </w:pPr>
      <w:r>
        <w:t>L’analisi è stata riportata all’universo</w:t>
      </w:r>
      <w:r w:rsidR="008B09AC">
        <w:t xml:space="preserve"> delle imprese del territorio</w:t>
      </w:r>
      <w:r>
        <w:t xml:space="preserve"> tramite un sistema di pesi.</w:t>
      </w:r>
    </w:p>
    <w:p w14:paraId="75A3514F" w14:textId="77777777" w:rsidR="003C0AAA" w:rsidRDefault="003C0AAA" w:rsidP="0019412F">
      <w:pPr>
        <w:spacing w:line="240" w:lineRule="auto"/>
        <w:jc w:val="both"/>
      </w:pPr>
    </w:p>
    <w:p w14:paraId="6BD0E830" w14:textId="416909A2" w:rsidR="0090244B" w:rsidRPr="00015C88" w:rsidRDefault="005666B3" w:rsidP="0019412F">
      <w:pPr>
        <w:spacing w:line="240" w:lineRule="auto"/>
        <w:jc w:val="both"/>
      </w:pPr>
      <w:r>
        <w:t xml:space="preserve">La raccolta dei dati è stata effettuata </w:t>
      </w:r>
      <w:r w:rsidR="0090244B">
        <w:t>in collaborazione con la società Questlab S.r.l. di Venezia Mestre</w:t>
      </w:r>
      <w:r>
        <w:t xml:space="preserve">, utilizzando </w:t>
      </w:r>
      <w:r w:rsidR="0090244B">
        <w:t xml:space="preserve">metodologia CAWI tra il </w:t>
      </w:r>
      <w:r w:rsidR="00350B1B">
        <w:t>27</w:t>
      </w:r>
      <w:r w:rsidR="0090244B">
        <w:t xml:space="preserve"> settembre e il </w:t>
      </w:r>
      <w:r w:rsidR="006222B6">
        <w:t>9</w:t>
      </w:r>
      <w:r w:rsidR="0090244B">
        <w:t xml:space="preserve"> </w:t>
      </w:r>
      <w:r w:rsidR="006222B6">
        <w:t>novembre</w:t>
      </w:r>
      <w:r w:rsidR="0090244B">
        <w:t xml:space="preserve"> </w:t>
      </w:r>
      <w:r>
        <w:t>2023</w:t>
      </w:r>
      <w:r w:rsidR="0090244B">
        <w:t>.</w:t>
      </w:r>
    </w:p>
    <w:p w14:paraId="2B0DB380" w14:textId="77777777" w:rsidR="00DB4C7F" w:rsidRPr="00015C88" w:rsidRDefault="00DB4C7F" w:rsidP="00AD2DD7">
      <w:pPr>
        <w:jc w:val="both"/>
      </w:pPr>
    </w:p>
    <w:p w14:paraId="41E77BE7" w14:textId="77777777" w:rsidR="00623302" w:rsidRPr="00015C88" w:rsidRDefault="00623302" w:rsidP="00075241"/>
    <w:p w14:paraId="70FCAE02" w14:textId="77777777" w:rsidR="00623302" w:rsidRPr="00015C88" w:rsidRDefault="00623302" w:rsidP="00075241"/>
    <w:p w14:paraId="4587D23D" w14:textId="77777777" w:rsidR="002472DB" w:rsidRPr="00AD2DD7" w:rsidRDefault="002472DB" w:rsidP="00075241">
      <w:pPr>
        <w:rPr>
          <w:rFonts w:asciiTheme="majorHAnsi" w:eastAsiaTheme="majorEastAsia" w:hAnsiTheme="majorHAnsi" w:cstheme="majorBidi"/>
          <w:color w:val="2F5496" w:themeColor="accent1" w:themeShade="BF"/>
        </w:rPr>
      </w:pPr>
      <w:r w:rsidRPr="00015C88">
        <w:br w:type="page"/>
      </w:r>
    </w:p>
    <w:p w14:paraId="7A9293F3" w14:textId="7CB84DA6" w:rsidR="00623302" w:rsidRPr="00015C88" w:rsidRDefault="002472DB" w:rsidP="00075241">
      <w:pPr>
        <w:pStyle w:val="Titolo2"/>
      </w:pPr>
      <w:bookmarkStart w:id="16" w:name="_Toc157430706"/>
      <w:r w:rsidRPr="00015C88">
        <w:lastRenderedPageBreak/>
        <w:t>Bibliografia</w:t>
      </w:r>
      <w:bookmarkEnd w:id="16"/>
    </w:p>
    <w:p w14:paraId="71B61580" w14:textId="77777777" w:rsidR="00623302" w:rsidRPr="00015C88" w:rsidRDefault="00623302" w:rsidP="00075241"/>
    <w:p w14:paraId="0AA990D5" w14:textId="77777777" w:rsidR="004A5D27" w:rsidRPr="00015C88" w:rsidRDefault="004A5D27" w:rsidP="00075241"/>
    <w:p w14:paraId="40371D67" w14:textId="77777777" w:rsidR="00160C50" w:rsidRPr="001E77C6" w:rsidRDefault="00160C50" w:rsidP="00160C50">
      <w:pPr>
        <w:rPr>
          <w:lang w:val="en-GB"/>
        </w:rPr>
      </w:pPr>
      <w:proofErr w:type="spellStart"/>
      <w:r w:rsidRPr="00376E54">
        <w:t>Denicolai</w:t>
      </w:r>
      <w:proofErr w:type="spellEnd"/>
      <w:r w:rsidRPr="00376E54">
        <w:t xml:space="preserve">, S., Zucchella, A., &amp; Magnani, G. (2021). </w:t>
      </w:r>
      <w:r w:rsidRPr="001E77C6">
        <w:rPr>
          <w:lang w:val="en-GB"/>
        </w:rPr>
        <w:t>Internationalization, digitalization, and sustainability: Are SMEs ready? A survey on synergies and substituting effects among growth paths. Technological Forecasting and Social Change, 166, 120650.</w:t>
      </w:r>
    </w:p>
    <w:p w14:paraId="268CA841" w14:textId="77777777" w:rsidR="00DB4C7F" w:rsidRPr="001E77C6" w:rsidRDefault="00DB4C7F" w:rsidP="00075241">
      <w:pPr>
        <w:rPr>
          <w:lang w:val="en-GB"/>
        </w:rPr>
      </w:pPr>
    </w:p>
    <w:p w14:paraId="0627FDC7" w14:textId="454A8D53" w:rsidR="00275ACF" w:rsidRPr="00EF1A26" w:rsidRDefault="00275ACF" w:rsidP="00AD532B">
      <w:pPr>
        <w:spacing w:after="160"/>
      </w:pPr>
      <w:r w:rsidRPr="001E77C6">
        <w:rPr>
          <w:lang w:val="en-GB"/>
        </w:rPr>
        <w:t xml:space="preserve">Johanson, J., &amp; </w:t>
      </w:r>
      <w:proofErr w:type="spellStart"/>
      <w:r w:rsidRPr="001E77C6">
        <w:rPr>
          <w:lang w:val="en-GB"/>
        </w:rPr>
        <w:t>Wiedersheim</w:t>
      </w:r>
      <w:proofErr w:type="spellEnd"/>
      <w:r w:rsidRPr="001E77C6">
        <w:rPr>
          <w:lang w:val="en-GB"/>
        </w:rPr>
        <w:t xml:space="preserve">-Paul, F. (1975). The internationalization of the firm: Four Swedish cases. </w:t>
      </w:r>
      <w:r w:rsidRPr="00EF1A26">
        <w:t>Journal of management studies, 12(3), 305-322.</w:t>
      </w:r>
    </w:p>
    <w:p w14:paraId="3280020B" w14:textId="54276ADF" w:rsidR="00D8285E" w:rsidRPr="00700ED6" w:rsidRDefault="00D8285E" w:rsidP="00AD532B">
      <w:pPr>
        <w:spacing w:after="160"/>
      </w:pPr>
      <w:r w:rsidRPr="00462D59">
        <w:t xml:space="preserve">Nanut, V., &amp; </w:t>
      </w:r>
      <w:proofErr w:type="spellStart"/>
      <w:r w:rsidRPr="00462D59">
        <w:t>Tracogna</w:t>
      </w:r>
      <w:proofErr w:type="spellEnd"/>
      <w:r w:rsidRPr="00462D59">
        <w:t xml:space="preserve">, A. (2011). Processi di internazionalizzazione delle imprese: vecchi e nuovi paradigmi. </w:t>
      </w:r>
      <w:r w:rsidRPr="00700ED6">
        <w:t>Sinergie Italian Journal of Management, (60), 11-34.</w:t>
      </w:r>
    </w:p>
    <w:p w14:paraId="6C6A076C" w14:textId="77777777" w:rsidR="00DB4C7F" w:rsidRPr="00015C88" w:rsidRDefault="00DB4C7F" w:rsidP="00075241"/>
    <w:p w14:paraId="68A371DD" w14:textId="77777777" w:rsidR="00DB4C7F" w:rsidRPr="00015C88" w:rsidRDefault="00DB4C7F" w:rsidP="00075241"/>
    <w:p w14:paraId="7340A129" w14:textId="77777777" w:rsidR="00DB4C7F" w:rsidRPr="00015C88" w:rsidRDefault="00DB4C7F" w:rsidP="00075241"/>
    <w:p w14:paraId="193BAC25" w14:textId="77777777" w:rsidR="00DB4C7F" w:rsidRDefault="00DB4C7F" w:rsidP="00075241"/>
    <w:p w14:paraId="705198A7" w14:textId="77777777" w:rsidR="00627CBF" w:rsidRDefault="00627CBF" w:rsidP="00075241"/>
    <w:p w14:paraId="6FE8FCD3" w14:textId="77777777" w:rsidR="00627CBF" w:rsidRDefault="00627CBF" w:rsidP="00075241"/>
    <w:p w14:paraId="7D7D8921" w14:textId="77777777" w:rsidR="00627CBF" w:rsidRDefault="00627CBF" w:rsidP="00075241"/>
    <w:p w14:paraId="0429E7EF" w14:textId="77777777" w:rsidR="00627CBF" w:rsidRDefault="00627CBF" w:rsidP="00075241"/>
    <w:p w14:paraId="3AE763FC" w14:textId="77777777" w:rsidR="00627CBF" w:rsidRDefault="00627CBF" w:rsidP="00075241"/>
    <w:p w14:paraId="6EE9DEA5" w14:textId="77777777" w:rsidR="00627CBF" w:rsidRDefault="00627CBF" w:rsidP="00075241"/>
    <w:p w14:paraId="70A36BE0" w14:textId="77777777" w:rsidR="00627CBF" w:rsidRDefault="00627CBF" w:rsidP="00075241"/>
    <w:p w14:paraId="4CF37157" w14:textId="77777777" w:rsidR="00627CBF" w:rsidRDefault="00627CBF" w:rsidP="00075241"/>
    <w:p w14:paraId="42041D5A" w14:textId="77777777" w:rsidR="00627CBF" w:rsidRDefault="00627CBF" w:rsidP="00075241"/>
    <w:p w14:paraId="5BDE562D" w14:textId="77777777" w:rsidR="00627CBF" w:rsidRDefault="00627CBF" w:rsidP="00075241"/>
    <w:p w14:paraId="4CEB48ED" w14:textId="77777777" w:rsidR="00627CBF" w:rsidRDefault="00627CBF" w:rsidP="00075241"/>
    <w:p w14:paraId="79E46053" w14:textId="77777777" w:rsidR="00627CBF" w:rsidRDefault="00627CBF" w:rsidP="00075241"/>
    <w:p w14:paraId="2578AF3A" w14:textId="77777777" w:rsidR="00627CBF" w:rsidRDefault="00627CBF" w:rsidP="00075241"/>
    <w:p w14:paraId="37068CC3" w14:textId="77777777" w:rsidR="00627CBF" w:rsidRDefault="00627CBF" w:rsidP="00075241"/>
    <w:p w14:paraId="342E4B4F" w14:textId="77777777" w:rsidR="00627CBF" w:rsidRDefault="00627CBF" w:rsidP="00075241"/>
    <w:p w14:paraId="35D20B40" w14:textId="77777777" w:rsidR="00627CBF" w:rsidRDefault="00627CBF" w:rsidP="00075241"/>
    <w:p w14:paraId="1583B1CB" w14:textId="77777777" w:rsidR="00627CBF" w:rsidRDefault="00627CBF" w:rsidP="00075241"/>
    <w:p w14:paraId="0D55996B" w14:textId="77777777" w:rsidR="00627CBF" w:rsidRDefault="00627CBF" w:rsidP="00075241"/>
    <w:p w14:paraId="08C21ED6" w14:textId="77777777" w:rsidR="00627CBF" w:rsidRDefault="00627CBF" w:rsidP="00075241"/>
    <w:p w14:paraId="33068AEE" w14:textId="77777777" w:rsidR="00627CBF" w:rsidRDefault="00627CBF" w:rsidP="00075241"/>
    <w:p w14:paraId="0715C383" w14:textId="77777777" w:rsidR="00627CBF" w:rsidRDefault="00627CBF" w:rsidP="00075241"/>
    <w:p w14:paraId="6330FA8D" w14:textId="77777777" w:rsidR="00627CBF" w:rsidRDefault="00627CBF" w:rsidP="00075241"/>
    <w:p w14:paraId="11A43101" w14:textId="77777777" w:rsidR="00627CBF" w:rsidRDefault="00627CBF" w:rsidP="00075241"/>
    <w:p w14:paraId="7A8C7C19" w14:textId="77777777" w:rsidR="00627CBF" w:rsidRDefault="00627CBF" w:rsidP="00075241"/>
    <w:p w14:paraId="60608144" w14:textId="77777777" w:rsidR="00627CBF" w:rsidRDefault="00627CBF" w:rsidP="00075241"/>
    <w:p w14:paraId="08FB85CA" w14:textId="77777777" w:rsidR="00627CBF" w:rsidRDefault="00627CBF" w:rsidP="00075241"/>
    <w:p w14:paraId="575FAAE6" w14:textId="77777777" w:rsidR="00627CBF" w:rsidRDefault="00627CBF" w:rsidP="00075241"/>
    <w:p w14:paraId="13E504DD" w14:textId="77777777" w:rsidR="00627CBF" w:rsidRDefault="00627CBF" w:rsidP="00075241"/>
    <w:p w14:paraId="4BF662D8" w14:textId="77777777" w:rsidR="00627CBF" w:rsidRDefault="00627CBF" w:rsidP="00075241"/>
    <w:p w14:paraId="58EAFAA6" w14:textId="499E86E6" w:rsidR="00627CBF" w:rsidRPr="00015C88" w:rsidRDefault="00627CBF" w:rsidP="00075241">
      <w:r w:rsidRPr="00A02A52">
        <w:rPr>
          <w:i/>
          <w:iCs/>
        </w:rPr>
        <w:t>Ogni diritto sui contenuti è riservato ai sensi della normativa vigente</w:t>
      </w:r>
    </w:p>
    <w:sectPr w:rsidR="00627CBF" w:rsidRPr="00015C88" w:rsidSect="00004CC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8C0D5" w14:textId="77777777" w:rsidR="00004CCB" w:rsidRDefault="00004CCB" w:rsidP="00075241">
      <w:r>
        <w:separator/>
      </w:r>
    </w:p>
  </w:endnote>
  <w:endnote w:type="continuationSeparator" w:id="0">
    <w:p w14:paraId="1DEDF6DE" w14:textId="77777777" w:rsidR="00004CCB" w:rsidRDefault="00004CCB" w:rsidP="00075241">
      <w:r>
        <w:continuationSeparator/>
      </w:r>
    </w:p>
  </w:endnote>
  <w:endnote w:type="continuationNotice" w:id="1">
    <w:p w14:paraId="0A41AAAD" w14:textId="77777777" w:rsidR="00004CCB" w:rsidRDefault="00004CCB" w:rsidP="00075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71CD" w14:textId="77777777" w:rsidR="00702488" w:rsidRDefault="00702488" w:rsidP="00702488">
    <w:pPr>
      <w:pStyle w:val="Pidipagina"/>
      <w:jc w:val="right"/>
    </w:pPr>
  </w:p>
  <w:sdt>
    <w:sdtPr>
      <w:id w:val="-224295783"/>
      <w:docPartObj>
        <w:docPartGallery w:val="Page Numbers (Bottom of Page)"/>
        <w:docPartUnique/>
      </w:docPartObj>
    </w:sdtPr>
    <w:sdtEndPr/>
    <w:sdtContent>
      <w:p w14:paraId="2EA9D084" w14:textId="080AECC8" w:rsidR="00DB4C7F" w:rsidRDefault="00DB4C7F" w:rsidP="00702488">
        <w:pPr>
          <w:pStyle w:val="Pidipagina"/>
          <w:jc w:val="right"/>
        </w:pPr>
        <w:r>
          <w:fldChar w:fldCharType="begin"/>
        </w:r>
        <w:r>
          <w:instrText>PAGE   \* MERGEFORMAT</w:instrText>
        </w:r>
        <w:r>
          <w:fldChar w:fldCharType="separate"/>
        </w:r>
        <w:r>
          <w:t>2</w:t>
        </w:r>
        <w:r>
          <w:fldChar w:fldCharType="end"/>
        </w:r>
      </w:p>
    </w:sdtContent>
  </w:sdt>
  <w:p w14:paraId="5702A264" w14:textId="77777777" w:rsidR="00DB4C7F" w:rsidRDefault="00DB4C7F" w:rsidP="000752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BDA0" w14:textId="77777777" w:rsidR="00004CCB" w:rsidRDefault="00004CCB" w:rsidP="00075241">
      <w:r>
        <w:separator/>
      </w:r>
    </w:p>
  </w:footnote>
  <w:footnote w:type="continuationSeparator" w:id="0">
    <w:p w14:paraId="6E816946" w14:textId="77777777" w:rsidR="00004CCB" w:rsidRDefault="00004CCB" w:rsidP="00075241">
      <w:r>
        <w:continuationSeparator/>
      </w:r>
    </w:p>
  </w:footnote>
  <w:footnote w:type="continuationNotice" w:id="1">
    <w:p w14:paraId="10B89C81" w14:textId="77777777" w:rsidR="00004CCB" w:rsidRDefault="00004CCB" w:rsidP="00075241"/>
  </w:footnote>
  <w:footnote w:id="2">
    <w:p w14:paraId="1298DFC6" w14:textId="77777777" w:rsidR="009B6582" w:rsidRPr="00555047" w:rsidRDefault="009B6582" w:rsidP="009B6582">
      <w:pPr>
        <w:pStyle w:val="Testonotaapidipagina"/>
        <w:jc w:val="both"/>
      </w:pPr>
      <w:r w:rsidRPr="00555047">
        <w:rPr>
          <w:rStyle w:val="Rimandonotaapidipagina"/>
        </w:rPr>
        <w:footnoteRef/>
      </w:r>
      <w:r w:rsidRPr="00555047">
        <w:t xml:space="preserve"> In ordine di export, nel 2022 le province venete sono: Vicenza (28,7% dell’export regionale), Treviso (19,9%), Verona (18,6%), Padova (15,8%), Venezia (8,6%), Belluno (6%) e Rovigo (2,3%).</w:t>
      </w:r>
    </w:p>
  </w:footnote>
  <w:footnote w:id="3">
    <w:p w14:paraId="251B5F71" w14:textId="4413315E" w:rsidR="003A2CAD" w:rsidRDefault="003A2CAD">
      <w:pPr>
        <w:pStyle w:val="Testonotaapidipagina"/>
      </w:pPr>
      <w:r>
        <w:rPr>
          <w:rStyle w:val="Rimandonotaapidipagina"/>
        </w:rPr>
        <w:footnoteRef/>
      </w:r>
      <w:r>
        <w:t xml:space="preserve"> Traduzione </w:t>
      </w:r>
      <w:r w:rsidR="00482D0C">
        <w:t>a cura di Fondazione Nord 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3A9D" w14:textId="1B783E10" w:rsidR="00781683" w:rsidRDefault="00781683">
    <w:pPr>
      <w:pStyle w:val="Intestazione"/>
    </w:pPr>
  </w:p>
  <w:p w14:paraId="1F042371" w14:textId="77777777" w:rsidR="003C0AAA" w:rsidRDefault="003C0AAA">
    <w:pPr>
      <w:pStyle w:val="Intestazione"/>
    </w:pPr>
  </w:p>
  <w:p w14:paraId="64B32BEA" w14:textId="77777777" w:rsidR="003C0AAA" w:rsidRDefault="003C0AA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3840"/>
    <w:multiLevelType w:val="hybridMultilevel"/>
    <w:tmpl w:val="547A21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DC7329F"/>
    <w:multiLevelType w:val="hybridMultilevel"/>
    <w:tmpl w:val="02FCC7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4B367A"/>
    <w:multiLevelType w:val="hybridMultilevel"/>
    <w:tmpl w:val="63D41D86"/>
    <w:lvl w:ilvl="0" w:tplc="04100001">
      <w:start w:val="1"/>
      <w:numFmt w:val="bullet"/>
      <w:lvlText w:val=""/>
      <w:lvlJc w:val="left"/>
      <w:pPr>
        <w:ind w:left="15120" w:hanging="360"/>
      </w:pPr>
      <w:rPr>
        <w:rFonts w:ascii="Symbol" w:hAnsi="Symbol" w:hint="default"/>
      </w:rPr>
    </w:lvl>
    <w:lvl w:ilvl="1" w:tplc="04100003" w:tentative="1">
      <w:start w:val="1"/>
      <w:numFmt w:val="bullet"/>
      <w:lvlText w:val="o"/>
      <w:lvlJc w:val="left"/>
      <w:pPr>
        <w:ind w:left="15840" w:hanging="360"/>
      </w:pPr>
      <w:rPr>
        <w:rFonts w:ascii="Courier New" w:hAnsi="Courier New" w:cs="Courier New" w:hint="default"/>
      </w:rPr>
    </w:lvl>
    <w:lvl w:ilvl="2" w:tplc="04100005" w:tentative="1">
      <w:start w:val="1"/>
      <w:numFmt w:val="bullet"/>
      <w:lvlText w:val=""/>
      <w:lvlJc w:val="left"/>
      <w:pPr>
        <w:ind w:left="16560" w:hanging="360"/>
      </w:pPr>
      <w:rPr>
        <w:rFonts w:ascii="Wingdings" w:hAnsi="Wingdings" w:hint="default"/>
      </w:rPr>
    </w:lvl>
    <w:lvl w:ilvl="3" w:tplc="04100001" w:tentative="1">
      <w:start w:val="1"/>
      <w:numFmt w:val="bullet"/>
      <w:lvlText w:val=""/>
      <w:lvlJc w:val="left"/>
      <w:pPr>
        <w:ind w:left="17280" w:hanging="360"/>
      </w:pPr>
      <w:rPr>
        <w:rFonts w:ascii="Symbol" w:hAnsi="Symbol" w:hint="default"/>
      </w:rPr>
    </w:lvl>
    <w:lvl w:ilvl="4" w:tplc="04100003" w:tentative="1">
      <w:start w:val="1"/>
      <w:numFmt w:val="bullet"/>
      <w:lvlText w:val="o"/>
      <w:lvlJc w:val="left"/>
      <w:pPr>
        <w:ind w:left="18000" w:hanging="360"/>
      </w:pPr>
      <w:rPr>
        <w:rFonts w:ascii="Courier New" w:hAnsi="Courier New" w:cs="Courier New" w:hint="default"/>
      </w:rPr>
    </w:lvl>
    <w:lvl w:ilvl="5" w:tplc="04100005" w:tentative="1">
      <w:start w:val="1"/>
      <w:numFmt w:val="bullet"/>
      <w:lvlText w:val=""/>
      <w:lvlJc w:val="left"/>
      <w:pPr>
        <w:ind w:left="18720" w:hanging="360"/>
      </w:pPr>
      <w:rPr>
        <w:rFonts w:ascii="Wingdings" w:hAnsi="Wingdings" w:hint="default"/>
      </w:rPr>
    </w:lvl>
    <w:lvl w:ilvl="6" w:tplc="04100001" w:tentative="1">
      <w:start w:val="1"/>
      <w:numFmt w:val="bullet"/>
      <w:lvlText w:val=""/>
      <w:lvlJc w:val="left"/>
      <w:pPr>
        <w:ind w:left="19440" w:hanging="360"/>
      </w:pPr>
      <w:rPr>
        <w:rFonts w:ascii="Symbol" w:hAnsi="Symbol" w:hint="default"/>
      </w:rPr>
    </w:lvl>
    <w:lvl w:ilvl="7" w:tplc="04100003" w:tentative="1">
      <w:start w:val="1"/>
      <w:numFmt w:val="bullet"/>
      <w:lvlText w:val="o"/>
      <w:lvlJc w:val="left"/>
      <w:pPr>
        <w:ind w:left="20160" w:hanging="360"/>
      </w:pPr>
      <w:rPr>
        <w:rFonts w:ascii="Courier New" w:hAnsi="Courier New" w:cs="Courier New" w:hint="default"/>
      </w:rPr>
    </w:lvl>
    <w:lvl w:ilvl="8" w:tplc="04100005" w:tentative="1">
      <w:start w:val="1"/>
      <w:numFmt w:val="bullet"/>
      <w:lvlText w:val=""/>
      <w:lvlJc w:val="left"/>
      <w:pPr>
        <w:ind w:left="20880" w:hanging="360"/>
      </w:pPr>
      <w:rPr>
        <w:rFonts w:ascii="Wingdings" w:hAnsi="Wingdings" w:hint="default"/>
      </w:rPr>
    </w:lvl>
  </w:abstractNum>
  <w:abstractNum w:abstractNumId="3" w15:restartNumberingAfterBreak="0">
    <w:nsid w:val="11F2266B"/>
    <w:multiLevelType w:val="hybridMultilevel"/>
    <w:tmpl w:val="3790E530"/>
    <w:lvl w:ilvl="0" w:tplc="04100001">
      <w:start w:val="1"/>
      <w:numFmt w:val="bullet"/>
      <w:lvlText w:val=""/>
      <w:lvlJc w:val="left"/>
      <w:pPr>
        <w:ind w:left="20880" w:hanging="360"/>
      </w:pPr>
      <w:rPr>
        <w:rFonts w:ascii="Symbol" w:hAnsi="Symbol" w:hint="default"/>
      </w:rPr>
    </w:lvl>
    <w:lvl w:ilvl="1" w:tplc="04100003" w:tentative="1">
      <w:start w:val="1"/>
      <w:numFmt w:val="bullet"/>
      <w:lvlText w:val="o"/>
      <w:lvlJc w:val="left"/>
      <w:pPr>
        <w:ind w:left="21600" w:hanging="360"/>
      </w:pPr>
      <w:rPr>
        <w:rFonts w:ascii="Courier New" w:hAnsi="Courier New" w:cs="Courier New" w:hint="default"/>
      </w:rPr>
    </w:lvl>
    <w:lvl w:ilvl="2" w:tplc="04100005" w:tentative="1">
      <w:start w:val="1"/>
      <w:numFmt w:val="bullet"/>
      <w:lvlText w:val=""/>
      <w:lvlJc w:val="left"/>
      <w:pPr>
        <w:ind w:left="22320" w:hanging="360"/>
      </w:pPr>
      <w:rPr>
        <w:rFonts w:ascii="Wingdings" w:hAnsi="Wingdings" w:hint="default"/>
      </w:rPr>
    </w:lvl>
    <w:lvl w:ilvl="3" w:tplc="04100001" w:tentative="1">
      <w:start w:val="1"/>
      <w:numFmt w:val="bullet"/>
      <w:lvlText w:val=""/>
      <w:lvlJc w:val="left"/>
      <w:pPr>
        <w:ind w:left="23040" w:hanging="360"/>
      </w:pPr>
      <w:rPr>
        <w:rFonts w:ascii="Symbol" w:hAnsi="Symbol" w:hint="default"/>
      </w:rPr>
    </w:lvl>
    <w:lvl w:ilvl="4" w:tplc="04100003" w:tentative="1">
      <w:start w:val="1"/>
      <w:numFmt w:val="bullet"/>
      <w:lvlText w:val="o"/>
      <w:lvlJc w:val="left"/>
      <w:pPr>
        <w:ind w:left="23760" w:hanging="360"/>
      </w:pPr>
      <w:rPr>
        <w:rFonts w:ascii="Courier New" w:hAnsi="Courier New" w:cs="Courier New" w:hint="default"/>
      </w:rPr>
    </w:lvl>
    <w:lvl w:ilvl="5" w:tplc="04100005" w:tentative="1">
      <w:start w:val="1"/>
      <w:numFmt w:val="bullet"/>
      <w:lvlText w:val=""/>
      <w:lvlJc w:val="left"/>
      <w:pPr>
        <w:ind w:left="24480" w:hanging="360"/>
      </w:pPr>
      <w:rPr>
        <w:rFonts w:ascii="Wingdings" w:hAnsi="Wingdings" w:hint="default"/>
      </w:rPr>
    </w:lvl>
    <w:lvl w:ilvl="6" w:tplc="04100001" w:tentative="1">
      <w:start w:val="1"/>
      <w:numFmt w:val="bullet"/>
      <w:lvlText w:val=""/>
      <w:lvlJc w:val="left"/>
      <w:pPr>
        <w:ind w:left="25200" w:hanging="360"/>
      </w:pPr>
      <w:rPr>
        <w:rFonts w:ascii="Symbol" w:hAnsi="Symbol" w:hint="default"/>
      </w:rPr>
    </w:lvl>
    <w:lvl w:ilvl="7" w:tplc="04100003" w:tentative="1">
      <w:start w:val="1"/>
      <w:numFmt w:val="bullet"/>
      <w:lvlText w:val="o"/>
      <w:lvlJc w:val="left"/>
      <w:pPr>
        <w:ind w:left="25920" w:hanging="360"/>
      </w:pPr>
      <w:rPr>
        <w:rFonts w:ascii="Courier New" w:hAnsi="Courier New" w:cs="Courier New" w:hint="default"/>
      </w:rPr>
    </w:lvl>
    <w:lvl w:ilvl="8" w:tplc="04100005" w:tentative="1">
      <w:start w:val="1"/>
      <w:numFmt w:val="bullet"/>
      <w:lvlText w:val=""/>
      <w:lvlJc w:val="left"/>
      <w:pPr>
        <w:ind w:left="26640" w:hanging="360"/>
      </w:pPr>
      <w:rPr>
        <w:rFonts w:ascii="Wingdings" w:hAnsi="Wingdings" w:hint="default"/>
      </w:rPr>
    </w:lvl>
  </w:abstractNum>
  <w:abstractNum w:abstractNumId="4" w15:restartNumberingAfterBreak="0">
    <w:nsid w:val="1FE01E76"/>
    <w:multiLevelType w:val="hybridMultilevel"/>
    <w:tmpl w:val="B65A24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567DA1"/>
    <w:multiLevelType w:val="hybridMultilevel"/>
    <w:tmpl w:val="A3EAD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6A3F59"/>
    <w:multiLevelType w:val="hybridMultilevel"/>
    <w:tmpl w:val="05329D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F4794E"/>
    <w:multiLevelType w:val="hybridMultilevel"/>
    <w:tmpl w:val="E96EB39C"/>
    <w:lvl w:ilvl="0" w:tplc="04100001">
      <w:start w:val="1"/>
      <w:numFmt w:val="bullet"/>
      <w:lvlText w:val=""/>
      <w:lvlJc w:val="left"/>
      <w:pPr>
        <w:ind w:left="6480" w:hanging="360"/>
      </w:pPr>
      <w:rPr>
        <w:rFonts w:ascii="Symbol" w:hAnsi="Symbol" w:hint="default"/>
      </w:rPr>
    </w:lvl>
    <w:lvl w:ilvl="1" w:tplc="04100003" w:tentative="1">
      <w:start w:val="1"/>
      <w:numFmt w:val="bullet"/>
      <w:lvlText w:val="o"/>
      <w:lvlJc w:val="left"/>
      <w:pPr>
        <w:ind w:left="7200" w:hanging="360"/>
      </w:pPr>
      <w:rPr>
        <w:rFonts w:ascii="Courier New" w:hAnsi="Courier New" w:cs="Courier New" w:hint="default"/>
      </w:rPr>
    </w:lvl>
    <w:lvl w:ilvl="2" w:tplc="04100005" w:tentative="1">
      <w:start w:val="1"/>
      <w:numFmt w:val="bullet"/>
      <w:lvlText w:val=""/>
      <w:lvlJc w:val="left"/>
      <w:pPr>
        <w:ind w:left="7920" w:hanging="360"/>
      </w:pPr>
      <w:rPr>
        <w:rFonts w:ascii="Wingdings" w:hAnsi="Wingdings" w:hint="default"/>
      </w:rPr>
    </w:lvl>
    <w:lvl w:ilvl="3" w:tplc="04100001" w:tentative="1">
      <w:start w:val="1"/>
      <w:numFmt w:val="bullet"/>
      <w:lvlText w:val=""/>
      <w:lvlJc w:val="left"/>
      <w:pPr>
        <w:ind w:left="8640" w:hanging="360"/>
      </w:pPr>
      <w:rPr>
        <w:rFonts w:ascii="Symbol" w:hAnsi="Symbol" w:hint="default"/>
      </w:rPr>
    </w:lvl>
    <w:lvl w:ilvl="4" w:tplc="04100003" w:tentative="1">
      <w:start w:val="1"/>
      <w:numFmt w:val="bullet"/>
      <w:lvlText w:val="o"/>
      <w:lvlJc w:val="left"/>
      <w:pPr>
        <w:ind w:left="9360" w:hanging="360"/>
      </w:pPr>
      <w:rPr>
        <w:rFonts w:ascii="Courier New" w:hAnsi="Courier New" w:cs="Courier New" w:hint="default"/>
      </w:rPr>
    </w:lvl>
    <w:lvl w:ilvl="5" w:tplc="04100005" w:tentative="1">
      <w:start w:val="1"/>
      <w:numFmt w:val="bullet"/>
      <w:lvlText w:val=""/>
      <w:lvlJc w:val="left"/>
      <w:pPr>
        <w:ind w:left="10080" w:hanging="360"/>
      </w:pPr>
      <w:rPr>
        <w:rFonts w:ascii="Wingdings" w:hAnsi="Wingdings" w:hint="default"/>
      </w:rPr>
    </w:lvl>
    <w:lvl w:ilvl="6" w:tplc="04100001" w:tentative="1">
      <w:start w:val="1"/>
      <w:numFmt w:val="bullet"/>
      <w:lvlText w:val=""/>
      <w:lvlJc w:val="left"/>
      <w:pPr>
        <w:ind w:left="10800" w:hanging="360"/>
      </w:pPr>
      <w:rPr>
        <w:rFonts w:ascii="Symbol" w:hAnsi="Symbol" w:hint="default"/>
      </w:rPr>
    </w:lvl>
    <w:lvl w:ilvl="7" w:tplc="04100003" w:tentative="1">
      <w:start w:val="1"/>
      <w:numFmt w:val="bullet"/>
      <w:lvlText w:val="o"/>
      <w:lvlJc w:val="left"/>
      <w:pPr>
        <w:ind w:left="11520" w:hanging="360"/>
      </w:pPr>
      <w:rPr>
        <w:rFonts w:ascii="Courier New" w:hAnsi="Courier New" w:cs="Courier New" w:hint="default"/>
      </w:rPr>
    </w:lvl>
    <w:lvl w:ilvl="8" w:tplc="04100005" w:tentative="1">
      <w:start w:val="1"/>
      <w:numFmt w:val="bullet"/>
      <w:lvlText w:val=""/>
      <w:lvlJc w:val="left"/>
      <w:pPr>
        <w:ind w:left="12240" w:hanging="360"/>
      </w:pPr>
      <w:rPr>
        <w:rFonts w:ascii="Wingdings" w:hAnsi="Wingdings" w:hint="default"/>
      </w:rPr>
    </w:lvl>
  </w:abstractNum>
  <w:abstractNum w:abstractNumId="8" w15:restartNumberingAfterBreak="0">
    <w:nsid w:val="2C5B4A8B"/>
    <w:multiLevelType w:val="hybridMultilevel"/>
    <w:tmpl w:val="0B38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7D6083"/>
    <w:multiLevelType w:val="hybridMultilevel"/>
    <w:tmpl w:val="18F6E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CD90DAE"/>
    <w:multiLevelType w:val="hybridMultilevel"/>
    <w:tmpl w:val="E9F84CD8"/>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1" w15:restartNumberingAfterBreak="0">
    <w:nsid w:val="4A0D21AE"/>
    <w:multiLevelType w:val="hybridMultilevel"/>
    <w:tmpl w:val="11CE6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147601D"/>
    <w:multiLevelType w:val="hybridMultilevel"/>
    <w:tmpl w:val="F7680E40"/>
    <w:lvl w:ilvl="0" w:tplc="04100001">
      <w:start w:val="1"/>
      <w:numFmt w:val="bullet"/>
      <w:lvlText w:val=""/>
      <w:lvlJc w:val="left"/>
      <w:pPr>
        <w:ind w:left="12240" w:hanging="360"/>
      </w:pPr>
      <w:rPr>
        <w:rFonts w:ascii="Symbol" w:hAnsi="Symbol" w:hint="default"/>
      </w:rPr>
    </w:lvl>
    <w:lvl w:ilvl="1" w:tplc="04100003" w:tentative="1">
      <w:start w:val="1"/>
      <w:numFmt w:val="bullet"/>
      <w:lvlText w:val="o"/>
      <w:lvlJc w:val="left"/>
      <w:pPr>
        <w:ind w:left="12960" w:hanging="360"/>
      </w:pPr>
      <w:rPr>
        <w:rFonts w:ascii="Courier New" w:hAnsi="Courier New" w:cs="Courier New" w:hint="default"/>
      </w:rPr>
    </w:lvl>
    <w:lvl w:ilvl="2" w:tplc="04100005" w:tentative="1">
      <w:start w:val="1"/>
      <w:numFmt w:val="bullet"/>
      <w:lvlText w:val=""/>
      <w:lvlJc w:val="left"/>
      <w:pPr>
        <w:ind w:left="13680" w:hanging="360"/>
      </w:pPr>
      <w:rPr>
        <w:rFonts w:ascii="Wingdings" w:hAnsi="Wingdings" w:hint="default"/>
      </w:rPr>
    </w:lvl>
    <w:lvl w:ilvl="3" w:tplc="04100001" w:tentative="1">
      <w:start w:val="1"/>
      <w:numFmt w:val="bullet"/>
      <w:lvlText w:val=""/>
      <w:lvlJc w:val="left"/>
      <w:pPr>
        <w:ind w:left="14400" w:hanging="360"/>
      </w:pPr>
      <w:rPr>
        <w:rFonts w:ascii="Symbol" w:hAnsi="Symbol" w:hint="default"/>
      </w:rPr>
    </w:lvl>
    <w:lvl w:ilvl="4" w:tplc="04100003" w:tentative="1">
      <w:start w:val="1"/>
      <w:numFmt w:val="bullet"/>
      <w:lvlText w:val="o"/>
      <w:lvlJc w:val="left"/>
      <w:pPr>
        <w:ind w:left="15120" w:hanging="360"/>
      </w:pPr>
      <w:rPr>
        <w:rFonts w:ascii="Courier New" w:hAnsi="Courier New" w:cs="Courier New" w:hint="default"/>
      </w:rPr>
    </w:lvl>
    <w:lvl w:ilvl="5" w:tplc="04100005" w:tentative="1">
      <w:start w:val="1"/>
      <w:numFmt w:val="bullet"/>
      <w:lvlText w:val=""/>
      <w:lvlJc w:val="left"/>
      <w:pPr>
        <w:ind w:left="15840" w:hanging="360"/>
      </w:pPr>
      <w:rPr>
        <w:rFonts w:ascii="Wingdings" w:hAnsi="Wingdings" w:hint="default"/>
      </w:rPr>
    </w:lvl>
    <w:lvl w:ilvl="6" w:tplc="04100001" w:tentative="1">
      <w:start w:val="1"/>
      <w:numFmt w:val="bullet"/>
      <w:lvlText w:val=""/>
      <w:lvlJc w:val="left"/>
      <w:pPr>
        <w:ind w:left="16560" w:hanging="360"/>
      </w:pPr>
      <w:rPr>
        <w:rFonts w:ascii="Symbol" w:hAnsi="Symbol" w:hint="default"/>
      </w:rPr>
    </w:lvl>
    <w:lvl w:ilvl="7" w:tplc="04100003" w:tentative="1">
      <w:start w:val="1"/>
      <w:numFmt w:val="bullet"/>
      <w:lvlText w:val="o"/>
      <w:lvlJc w:val="left"/>
      <w:pPr>
        <w:ind w:left="17280" w:hanging="360"/>
      </w:pPr>
      <w:rPr>
        <w:rFonts w:ascii="Courier New" w:hAnsi="Courier New" w:cs="Courier New" w:hint="default"/>
      </w:rPr>
    </w:lvl>
    <w:lvl w:ilvl="8" w:tplc="04100005" w:tentative="1">
      <w:start w:val="1"/>
      <w:numFmt w:val="bullet"/>
      <w:lvlText w:val=""/>
      <w:lvlJc w:val="left"/>
      <w:pPr>
        <w:ind w:left="18000" w:hanging="360"/>
      </w:pPr>
      <w:rPr>
        <w:rFonts w:ascii="Wingdings" w:hAnsi="Wingdings" w:hint="default"/>
      </w:rPr>
    </w:lvl>
  </w:abstractNum>
  <w:abstractNum w:abstractNumId="13" w15:restartNumberingAfterBreak="0">
    <w:nsid w:val="5343085D"/>
    <w:multiLevelType w:val="hybridMultilevel"/>
    <w:tmpl w:val="258CCF9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15:restartNumberingAfterBreak="0">
    <w:nsid w:val="63310D17"/>
    <w:multiLevelType w:val="hybridMultilevel"/>
    <w:tmpl w:val="C6FE85CE"/>
    <w:lvl w:ilvl="0" w:tplc="04100001">
      <w:start w:val="1"/>
      <w:numFmt w:val="bullet"/>
      <w:lvlText w:val=""/>
      <w:lvlJc w:val="left"/>
      <w:pPr>
        <w:ind w:left="775" w:hanging="360"/>
      </w:pPr>
      <w:rPr>
        <w:rFonts w:ascii="Symbol" w:hAnsi="Symbol"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15" w15:restartNumberingAfterBreak="0">
    <w:nsid w:val="6B99173C"/>
    <w:multiLevelType w:val="hybridMultilevel"/>
    <w:tmpl w:val="2FAAD734"/>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6" w15:restartNumberingAfterBreak="0">
    <w:nsid w:val="74F06536"/>
    <w:multiLevelType w:val="hybridMultilevel"/>
    <w:tmpl w:val="0E5AF2C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77C646A6"/>
    <w:multiLevelType w:val="hybridMultilevel"/>
    <w:tmpl w:val="C8585F1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71E83F30">
      <w:start w:val="2"/>
      <w:numFmt w:val="bullet"/>
      <w:lvlText w:val="-"/>
      <w:lvlJc w:val="left"/>
      <w:pPr>
        <w:ind w:left="2160" w:hanging="360"/>
      </w:pPr>
      <w:rPr>
        <w:rFonts w:ascii="Calibri" w:eastAsiaTheme="minorHAnsi"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BF2593B"/>
    <w:multiLevelType w:val="hybridMultilevel"/>
    <w:tmpl w:val="D540AF32"/>
    <w:lvl w:ilvl="0" w:tplc="04100001">
      <w:start w:val="1"/>
      <w:numFmt w:val="bullet"/>
      <w:lvlText w:val=""/>
      <w:lvlJc w:val="left"/>
      <w:pPr>
        <w:ind w:left="9360" w:hanging="360"/>
      </w:pPr>
      <w:rPr>
        <w:rFonts w:ascii="Symbol" w:hAnsi="Symbol" w:hint="default"/>
      </w:rPr>
    </w:lvl>
    <w:lvl w:ilvl="1" w:tplc="04100003" w:tentative="1">
      <w:start w:val="1"/>
      <w:numFmt w:val="bullet"/>
      <w:lvlText w:val="o"/>
      <w:lvlJc w:val="left"/>
      <w:pPr>
        <w:ind w:left="10080" w:hanging="360"/>
      </w:pPr>
      <w:rPr>
        <w:rFonts w:ascii="Courier New" w:hAnsi="Courier New" w:cs="Courier New" w:hint="default"/>
      </w:rPr>
    </w:lvl>
    <w:lvl w:ilvl="2" w:tplc="04100005" w:tentative="1">
      <w:start w:val="1"/>
      <w:numFmt w:val="bullet"/>
      <w:lvlText w:val=""/>
      <w:lvlJc w:val="left"/>
      <w:pPr>
        <w:ind w:left="10800" w:hanging="360"/>
      </w:pPr>
      <w:rPr>
        <w:rFonts w:ascii="Wingdings" w:hAnsi="Wingdings" w:hint="default"/>
      </w:rPr>
    </w:lvl>
    <w:lvl w:ilvl="3" w:tplc="04100001" w:tentative="1">
      <w:start w:val="1"/>
      <w:numFmt w:val="bullet"/>
      <w:lvlText w:val=""/>
      <w:lvlJc w:val="left"/>
      <w:pPr>
        <w:ind w:left="11520" w:hanging="360"/>
      </w:pPr>
      <w:rPr>
        <w:rFonts w:ascii="Symbol" w:hAnsi="Symbol" w:hint="default"/>
      </w:rPr>
    </w:lvl>
    <w:lvl w:ilvl="4" w:tplc="04100003" w:tentative="1">
      <w:start w:val="1"/>
      <w:numFmt w:val="bullet"/>
      <w:lvlText w:val="o"/>
      <w:lvlJc w:val="left"/>
      <w:pPr>
        <w:ind w:left="12240" w:hanging="360"/>
      </w:pPr>
      <w:rPr>
        <w:rFonts w:ascii="Courier New" w:hAnsi="Courier New" w:cs="Courier New" w:hint="default"/>
      </w:rPr>
    </w:lvl>
    <w:lvl w:ilvl="5" w:tplc="04100005" w:tentative="1">
      <w:start w:val="1"/>
      <w:numFmt w:val="bullet"/>
      <w:lvlText w:val=""/>
      <w:lvlJc w:val="left"/>
      <w:pPr>
        <w:ind w:left="12960" w:hanging="360"/>
      </w:pPr>
      <w:rPr>
        <w:rFonts w:ascii="Wingdings" w:hAnsi="Wingdings" w:hint="default"/>
      </w:rPr>
    </w:lvl>
    <w:lvl w:ilvl="6" w:tplc="04100001" w:tentative="1">
      <w:start w:val="1"/>
      <w:numFmt w:val="bullet"/>
      <w:lvlText w:val=""/>
      <w:lvlJc w:val="left"/>
      <w:pPr>
        <w:ind w:left="13680" w:hanging="360"/>
      </w:pPr>
      <w:rPr>
        <w:rFonts w:ascii="Symbol" w:hAnsi="Symbol" w:hint="default"/>
      </w:rPr>
    </w:lvl>
    <w:lvl w:ilvl="7" w:tplc="04100003" w:tentative="1">
      <w:start w:val="1"/>
      <w:numFmt w:val="bullet"/>
      <w:lvlText w:val="o"/>
      <w:lvlJc w:val="left"/>
      <w:pPr>
        <w:ind w:left="14400" w:hanging="360"/>
      </w:pPr>
      <w:rPr>
        <w:rFonts w:ascii="Courier New" w:hAnsi="Courier New" w:cs="Courier New" w:hint="default"/>
      </w:rPr>
    </w:lvl>
    <w:lvl w:ilvl="8" w:tplc="04100005" w:tentative="1">
      <w:start w:val="1"/>
      <w:numFmt w:val="bullet"/>
      <w:lvlText w:val=""/>
      <w:lvlJc w:val="left"/>
      <w:pPr>
        <w:ind w:left="15120" w:hanging="360"/>
      </w:pPr>
      <w:rPr>
        <w:rFonts w:ascii="Wingdings" w:hAnsi="Wingdings" w:hint="default"/>
      </w:rPr>
    </w:lvl>
  </w:abstractNum>
  <w:abstractNum w:abstractNumId="19" w15:restartNumberingAfterBreak="0">
    <w:nsid w:val="7CA77487"/>
    <w:multiLevelType w:val="hybridMultilevel"/>
    <w:tmpl w:val="3C7493D4"/>
    <w:lvl w:ilvl="0" w:tplc="0410000F">
      <w:start w:val="1"/>
      <w:numFmt w:val="decimal"/>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20" w15:restartNumberingAfterBreak="0">
    <w:nsid w:val="7E473333"/>
    <w:multiLevelType w:val="hybridMultilevel"/>
    <w:tmpl w:val="AF50194C"/>
    <w:lvl w:ilvl="0" w:tplc="04100001">
      <w:start w:val="1"/>
      <w:numFmt w:val="bullet"/>
      <w:lvlText w:val=""/>
      <w:lvlJc w:val="left"/>
      <w:pPr>
        <w:ind w:left="18000" w:hanging="360"/>
      </w:pPr>
      <w:rPr>
        <w:rFonts w:ascii="Symbol" w:hAnsi="Symbol" w:hint="default"/>
      </w:rPr>
    </w:lvl>
    <w:lvl w:ilvl="1" w:tplc="04100003" w:tentative="1">
      <w:start w:val="1"/>
      <w:numFmt w:val="bullet"/>
      <w:lvlText w:val="o"/>
      <w:lvlJc w:val="left"/>
      <w:pPr>
        <w:ind w:left="18720" w:hanging="360"/>
      </w:pPr>
      <w:rPr>
        <w:rFonts w:ascii="Courier New" w:hAnsi="Courier New" w:cs="Courier New" w:hint="default"/>
      </w:rPr>
    </w:lvl>
    <w:lvl w:ilvl="2" w:tplc="04100005" w:tentative="1">
      <w:start w:val="1"/>
      <w:numFmt w:val="bullet"/>
      <w:lvlText w:val=""/>
      <w:lvlJc w:val="left"/>
      <w:pPr>
        <w:ind w:left="19440" w:hanging="360"/>
      </w:pPr>
      <w:rPr>
        <w:rFonts w:ascii="Wingdings" w:hAnsi="Wingdings" w:hint="default"/>
      </w:rPr>
    </w:lvl>
    <w:lvl w:ilvl="3" w:tplc="04100001" w:tentative="1">
      <w:start w:val="1"/>
      <w:numFmt w:val="bullet"/>
      <w:lvlText w:val=""/>
      <w:lvlJc w:val="left"/>
      <w:pPr>
        <w:ind w:left="20160" w:hanging="360"/>
      </w:pPr>
      <w:rPr>
        <w:rFonts w:ascii="Symbol" w:hAnsi="Symbol" w:hint="default"/>
      </w:rPr>
    </w:lvl>
    <w:lvl w:ilvl="4" w:tplc="04100003" w:tentative="1">
      <w:start w:val="1"/>
      <w:numFmt w:val="bullet"/>
      <w:lvlText w:val="o"/>
      <w:lvlJc w:val="left"/>
      <w:pPr>
        <w:ind w:left="20880" w:hanging="360"/>
      </w:pPr>
      <w:rPr>
        <w:rFonts w:ascii="Courier New" w:hAnsi="Courier New" w:cs="Courier New" w:hint="default"/>
      </w:rPr>
    </w:lvl>
    <w:lvl w:ilvl="5" w:tplc="04100005" w:tentative="1">
      <w:start w:val="1"/>
      <w:numFmt w:val="bullet"/>
      <w:lvlText w:val=""/>
      <w:lvlJc w:val="left"/>
      <w:pPr>
        <w:ind w:left="21600" w:hanging="360"/>
      </w:pPr>
      <w:rPr>
        <w:rFonts w:ascii="Wingdings" w:hAnsi="Wingdings" w:hint="default"/>
      </w:rPr>
    </w:lvl>
    <w:lvl w:ilvl="6" w:tplc="04100001" w:tentative="1">
      <w:start w:val="1"/>
      <w:numFmt w:val="bullet"/>
      <w:lvlText w:val=""/>
      <w:lvlJc w:val="left"/>
      <w:pPr>
        <w:ind w:left="22320" w:hanging="360"/>
      </w:pPr>
      <w:rPr>
        <w:rFonts w:ascii="Symbol" w:hAnsi="Symbol" w:hint="default"/>
      </w:rPr>
    </w:lvl>
    <w:lvl w:ilvl="7" w:tplc="04100003" w:tentative="1">
      <w:start w:val="1"/>
      <w:numFmt w:val="bullet"/>
      <w:lvlText w:val="o"/>
      <w:lvlJc w:val="left"/>
      <w:pPr>
        <w:ind w:left="23040" w:hanging="360"/>
      </w:pPr>
      <w:rPr>
        <w:rFonts w:ascii="Courier New" w:hAnsi="Courier New" w:cs="Courier New" w:hint="default"/>
      </w:rPr>
    </w:lvl>
    <w:lvl w:ilvl="8" w:tplc="04100005" w:tentative="1">
      <w:start w:val="1"/>
      <w:numFmt w:val="bullet"/>
      <w:lvlText w:val=""/>
      <w:lvlJc w:val="left"/>
      <w:pPr>
        <w:ind w:left="23760" w:hanging="360"/>
      </w:pPr>
      <w:rPr>
        <w:rFonts w:ascii="Wingdings" w:hAnsi="Wingdings" w:hint="default"/>
      </w:rPr>
    </w:lvl>
  </w:abstractNum>
  <w:num w:numId="1" w16cid:durableId="1604651924">
    <w:abstractNumId w:val="4"/>
  </w:num>
  <w:num w:numId="2" w16cid:durableId="1527208448">
    <w:abstractNumId w:val="9"/>
  </w:num>
  <w:num w:numId="3" w16cid:durableId="455609598">
    <w:abstractNumId w:val="1"/>
  </w:num>
  <w:num w:numId="4" w16cid:durableId="1216426245">
    <w:abstractNumId w:val="13"/>
  </w:num>
  <w:num w:numId="5" w16cid:durableId="1589577450">
    <w:abstractNumId w:val="16"/>
  </w:num>
  <w:num w:numId="6" w16cid:durableId="305864645">
    <w:abstractNumId w:val="17"/>
  </w:num>
  <w:num w:numId="7" w16cid:durableId="609166461">
    <w:abstractNumId w:val="0"/>
  </w:num>
  <w:num w:numId="8" w16cid:durableId="1686903430">
    <w:abstractNumId w:val="10"/>
  </w:num>
  <w:num w:numId="9" w16cid:durableId="1285767145">
    <w:abstractNumId w:val="19"/>
  </w:num>
  <w:num w:numId="10" w16cid:durableId="393703490">
    <w:abstractNumId w:val="15"/>
  </w:num>
  <w:num w:numId="11" w16cid:durableId="596334375">
    <w:abstractNumId w:val="7"/>
  </w:num>
  <w:num w:numId="12" w16cid:durableId="2032295328">
    <w:abstractNumId w:val="18"/>
  </w:num>
  <w:num w:numId="13" w16cid:durableId="1361710392">
    <w:abstractNumId w:val="12"/>
  </w:num>
  <w:num w:numId="14" w16cid:durableId="233468799">
    <w:abstractNumId w:val="2"/>
  </w:num>
  <w:num w:numId="15" w16cid:durableId="1937589432">
    <w:abstractNumId w:val="20"/>
  </w:num>
  <w:num w:numId="16" w16cid:durableId="1607275254">
    <w:abstractNumId w:val="3"/>
  </w:num>
  <w:num w:numId="17" w16cid:durableId="1983776572">
    <w:abstractNumId w:val="5"/>
  </w:num>
  <w:num w:numId="18" w16cid:durableId="797070400">
    <w:abstractNumId w:val="14"/>
  </w:num>
  <w:num w:numId="19" w16cid:durableId="174929146">
    <w:abstractNumId w:val="6"/>
  </w:num>
  <w:num w:numId="20" w16cid:durableId="451899370">
    <w:abstractNumId w:val="8"/>
  </w:num>
  <w:num w:numId="21" w16cid:durableId="11366095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A7"/>
    <w:rsid w:val="00000500"/>
    <w:rsid w:val="000012D7"/>
    <w:rsid w:val="00001729"/>
    <w:rsid w:val="00001846"/>
    <w:rsid w:val="000019D0"/>
    <w:rsid w:val="00001F20"/>
    <w:rsid w:val="00002417"/>
    <w:rsid w:val="00002496"/>
    <w:rsid w:val="000027FB"/>
    <w:rsid w:val="0000294B"/>
    <w:rsid w:val="0000310B"/>
    <w:rsid w:val="000032C8"/>
    <w:rsid w:val="0000354E"/>
    <w:rsid w:val="000038E0"/>
    <w:rsid w:val="00003D8D"/>
    <w:rsid w:val="00004CCB"/>
    <w:rsid w:val="0000521A"/>
    <w:rsid w:val="0000562A"/>
    <w:rsid w:val="0000660E"/>
    <w:rsid w:val="000069AA"/>
    <w:rsid w:val="00006C49"/>
    <w:rsid w:val="00007204"/>
    <w:rsid w:val="000078C8"/>
    <w:rsid w:val="000101AD"/>
    <w:rsid w:val="0001106C"/>
    <w:rsid w:val="000113DF"/>
    <w:rsid w:val="00011D6E"/>
    <w:rsid w:val="00011D8C"/>
    <w:rsid w:val="000129C8"/>
    <w:rsid w:val="000139EB"/>
    <w:rsid w:val="00014611"/>
    <w:rsid w:val="00014BB7"/>
    <w:rsid w:val="00014DF8"/>
    <w:rsid w:val="00015B1B"/>
    <w:rsid w:val="00015B99"/>
    <w:rsid w:val="00015C88"/>
    <w:rsid w:val="00015DFC"/>
    <w:rsid w:val="000200FF"/>
    <w:rsid w:val="0002028D"/>
    <w:rsid w:val="00021B32"/>
    <w:rsid w:val="00022444"/>
    <w:rsid w:val="00022B12"/>
    <w:rsid w:val="0002324E"/>
    <w:rsid w:val="00023D8B"/>
    <w:rsid w:val="00024BCE"/>
    <w:rsid w:val="00024C3C"/>
    <w:rsid w:val="000254E6"/>
    <w:rsid w:val="00025700"/>
    <w:rsid w:val="0002598E"/>
    <w:rsid w:val="00025BB6"/>
    <w:rsid w:val="00025C2B"/>
    <w:rsid w:val="00025C58"/>
    <w:rsid w:val="00026183"/>
    <w:rsid w:val="000265D3"/>
    <w:rsid w:val="00026840"/>
    <w:rsid w:val="000301FD"/>
    <w:rsid w:val="00030F79"/>
    <w:rsid w:val="00031147"/>
    <w:rsid w:val="00031F30"/>
    <w:rsid w:val="00033564"/>
    <w:rsid w:val="00033B0F"/>
    <w:rsid w:val="00033B53"/>
    <w:rsid w:val="00034140"/>
    <w:rsid w:val="0003424E"/>
    <w:rsid w:val="00034854"/>
    <w:rsid w:val="000351B8"/>
    <w:rsid w:val="00035562"/>
    <w:rsid w:val="000358FF"/>
    <w:rsid w:val="00035B4B"/>
    <w:rsid w:val="00035E22"/>
    <w:rsid w:val="0003605D"/>
    <w:rsid w:val="0003647B"/>
    <w:rsid w:val="0003672F"/>
    <w:rsid w:val="00036B69"/>
    <w:rsid w:val="000373D5"/>
    <w:rsid w:val="00037AE1"/>
    <w:rsid w:val="0004016F"/>
    <w:rsid w:val="000403B1"/>
    <w:rsid w:val="00040EC7"/>
    <w:rsid w:val="00042189"/>
    <w:rsid w:val="000426CB"/>
    <w:rsid w:val="0004331A"/>
    <w:rsid w:val="000434A5"/>
    <w:rsid w:val="0004457A"/>
    <w:rsid w:val="00044CAE"/>
    <w:rsid w:val="000452F3"/>
    <w:rsid w:val="00045688"/>
    <w:rsid w:val="000459A2"/>
    <w:rsid w:val="00045C14"/>
    <w:rsid w:val="000462A9"/>
    <w:rsid w:val="0004638B"/>
    <w:rsid w:val="000476AC"/>
    <w:rsid w:val="0005004C"/>
    <w:rsid w:val="00050361"/>
    <w:rsid w:val="000511FD"/>
    <w:rsid w:val="0005240A"/>
    <w:rsid w:val="000524B2"/>
    <w:rsid w:val="0005298A"/>
    <w:rsid w:val="00052D0F"/>
    <w:rsid w:val="000535E5"/>
    <w:rsid w:val="00053CE9"/>
    <w:rsid w:val="00054701"/>
    <w:rsid w:val="000547A4"/>
    <w:rsid w:val="00054CA6"/>
    <w:rsid w:val="00054E1C"/>
    <w:rsid w:val="000554A0"/>
    <w:rsid w:val="00055754"/>
    <w:rsid w:val="000566DB"/>
    <w:rsid w:val="00057116"/>
    <w:rsid w:val="00057B19"/>
    <w:rsid w:val="00057E9E"/>
    <w:rsid w:val="000602EB"/>
    <w:rsid w:val="00060401"/>
    <w:rsid w:val="000606B4"/>
    <w:rsid w:val="00061C40"/>
    <w:rsid w:val="00061F7E"/>
    <w:rsid w:val="000620AE"/>
    <w:rsid w:val="0006214D"/>
    <w:rsid w:val="00062324"/>
    <w:rsid w:val="000626B8"/>
    <w:rsid w:val="00062CF4"/>
    <w:rsid w:val="0006319F"/>
    <w:rsid w:val="00063DDE"/>
    <w:rsid w:val="00064567"/>
    <w:rsid w:val="00064A73"/>
    <w:rsid w:val="000651C1"/>
    <w:rsid w:val="0006596A"/>
    <w:rsid w:val="00065D5A"/>
    <w:rsid w:val="00066F21"/>
    <w:rsid w:val="000678A2"/>
    <w:rsid w:val="00067D35"/>
    <w:rsid w:val="000700C4"/>
    <w:rsid w:val="00070369"/>
    <w:rsid w:val="00070541"/>
    <w:rsid w:val="0007060F"/>
    <w:rsid w:val="00070980"/>
    <w:rsid w:val="00071267"/>
    <w:rsid w:val="00071C8C"/>
    <w:rsid w:val="00072C88"/>
    <w:rsid w:val="00072D6E"/>
    <w:rsid w:val="00072DED"/>
    <w:rsid w:val="0007378C"/>
    <w:rsid w:val="00073CDD"/>
    <w:rsid w:val="00073D01"/>
    <w:rsid w:val="00074DB2"/>
    <w:rsid w:val="00074E26"/>
    <w:rsid w:val="00075241"/>
    <w:rsid w:val="000755BB"/>
    <w:rsid w:val="00077932"/>
    <w:rsid w:val="00077B36"/>
    <w:rsid w:val="00080100"/>
    <w:rsid w:val="00080227"/>
    <w:rsid w:val="000806B3"/>
    <w:rsid w:val="00081B04"/>
    <w:rsid w:val="00081F8E"/>
    <w:rsid w:val="00082195"/>
    <w:rsid w:val="00082414"/>
    <w:rsid w:val="00083291"/>
    <w:rsid w:val="00083AE0"/>
    <w:rsid w:val="00083B66"/>
    <w:rsid w:val="000849C8"/>
    <w:rsid w:val="00084AA2"/>
    <w:rsid w:val="00085C67"/>
    <w:rsid w:val="00085EF3"/>
    <w:rsid w:val="00086553"/>
    <w:rsid w:val="00086B6E"/>
    <w:rsid w:val="00087294"/>
    <w:rsid w:val="000874EB"/>
    <w:rsid w:val="00087A59"/>
    <w:rsid w:val="00087AD2"/>
    <w:rsid w:val="000911AD"/>
    <w:rsid w:val="000922D3"/>
    <w:rsid w:val="00092972"/>
    <w:rsid w:val="00093D79"/>
    <w:rsid w:val="00093F76"/>
    <w:rsid w:val="000943F2"/>
    <w:rsid w:val="000947FB"/>
    <w:rsid w:val="000948C2"/>
    <w:rsid w:val="00095231"/>
    <w:rsid w:val="00095B5A"/>
    <w:rsid w:val="00096418"/>
    <w:rsid w:val="00096D94"/>
    <w:rsid w:val="00096FF7"/>
    <w:rsid w:val="000A0293"/>
    <w:rsid w:val="000A0540"/>
    <w:rsid w:val="000A099D"/>
    <w:rsid w:val="000A11C3"/>
    <w:rsid w:val="000A1243"/>
    <w:rsid w:val="000A156E"/>
    <w:rsid w:val="000A1BA3"/>
    <w:rsid w:val="000A1C92"/>
    <w:rsid w:val="000A284E"/>
    <w:rsid w:val="000A2E41"/>
    <w:rsid w:val="000A3081"/>
    <w:rsid w:val="000A37B0"/>
    <w:rsid w:val="000A3A14"/>
    <w:rsid w:val="000A3E09"/>
    <w:rsid w:val="000A3E53"/>
    <w:rsid w:val="000A41FE"/>
    <w:rsid w:val="000A4634"/>
    <w:rsid w:val="000A49F0"/>
    <w:rsid w:val="000A4FB8"/>
    <w:rsid w:val="000A65C4"/>
    <w:rsid w:val="000A698B"/>
    <w:rsid w:val="000A6C4A"/>
    <w:rsid w:val="000A6E32"/>
    <w:rsid w:val="000A76F7"/>
    <w:rsid w:val="000A7A8A"/>
    <w:rsid w:val="000B0CA2"/>
    <w:rsid w:val="000B102A"/>
    <w:rsid w:val="000B1957"/>
    <w:rsid w:val="000B2355"/>
    <w:rsid w:val="000B2440"/>
    <w:rsid w:val="000B2A00"/>
    <w:rsid w:val="000B2FFA"/>
    <w:rsid w:val="000B3460"/>
    <w:rsid w:val="000B3C64"/>
    <w:rsid w:val="000B3CAC"/>
    <w:rsid w:val="000B3DF4"/>
    <w:rsid w:val="000B3EC8"/>
    <w:rsid w:val="000B489A"/>
    <w:rsid w:val="000B5429"/>
    <w:rsid w:val="000B5438"/>
    <w:rsid w:val="000B55EE"/>
    <w:rsid w:val="000B5781"/>
    <w:rsid w:val="000B5F76"/>
    <w:rsid w:val="000B6544"/>
    <w:rsid w:val="000B670D"/>
    <w:rsid w:val="000B6955"/>
    <w:rsid w:val="000B6A2C"/>
    <w:rsid w:val="000B6DB9"/>
    <w:rsid w:val="000B6E40"/>
    <w:rsid w:val="000C1C19"/>
    <w:rsid w:val="000C29D5"/>
    <w:rsid w:val="000C2B5C"/>
    <w:rsid w:val="000C3B36"/>
    <w:rsid w:val="000C43F5"/>
    <w:rsid w:val="000C5218"/>
    <w:rsid w:val="000C55DC"/>
    <w:rsid w:val="000C57BB"/>
    <w:rsid w:val="000C5AB0"/>
    <w:rsid w:val="000C6843"/>
    <w:rsid w:val="000C74E6"/>
    <w:rsid w:val="000C79DF"/>
    <w:rsid w:val="000D00CA"/>
    <w:rsid w:val="000D0C42"/>
    <w:rsid w:val="000D0E19"/>
    <w:rsid w:val="000D2F2B"/>
    <w:rsid w:val="000D3107"/>
    <w:rsid w:val="000D3C79"/>
    <w:rsid w:val="000D3E7F"/>
    <w:rsid w:val="000D4D06"/>
    <w:rsid w:val="000D4D76"/>
    <w:rsid w:val="000D5032"/>
    <w:rsid w:val="000D5DD5"/>
    <w:rsid w:val="000D601F"/>
    <w:rsid w:val="000D6026"/>
    <w:rsid w:val="000D7276"/>
    <w:rsid w:val="000D7761"/>
    <w:rsid w:val="000D797D"/>
    <w:rsid w:val="000D7EBD"/>
    <w:rsid w:val="000E0397"/>
    <w:rsid w:val="000E0ECB"/>
    <w:rsid w:val="000E0F12"/>
    <w:rsid w:val="000E240D"/>
    <w:rsid w:val="000E282D"/>
    <w:rsid w:val="000E2F43"/>
    <w:rsid w:val="000E32D6"/>
    <w:rsid w:val="000E343D"/>
    <w:rsid w:val="000E36BE"/>
    <w:rsid w:val="000E466C"/>
    <w:rsid w:val="000E4740"/>
    <w:rsid w:val="000E49CF"/>
    <w:rsid w:val="000E4A46"/>
    <w:rsid w:val="000E5D4F"/>
    <w:rsid w:val="000E626B"/>
    <w:rsid w:val="000E658F"/>
    <w:rsid w:val="000E6764"/>
    <w:rsid w:val="000E6B47"/>
    <w:rsid w:val="000E6D8C"/>
    <w:rsid w:val="000E6D9A"/>
    <w:rsid w:val="000E7619"/>
    <w:rsid w:val="000E79C4"/>
    <w:rsid w:val="000F036F"/>
    <w:rsid w:val="000F0D79"/>
    <w:rsid w:val="000F1C94"/>
    <w:rsid w:val="000F1D4D"/>
    <w:rsid w:val="000F1F32"/>
    <w:rsid w:val="000F2BB0"/>
    <w:rsid w:val="000F3DEE"/>
    <w:rsid w:val="000F462D"/>
    <w:rsid w:val="000F702E"/>
    <w:rsid w:val="000F752E"/>
    <w:rsid w:val="000F77CB"/>
    <w:rsid w:val="000F7A32"/>
    <w:rsid w:val="00100198"/>
    <w:rsid w:val="0010038B"/>
    <w:rsid w:val="001008DC"/>
    <w:rsid w:val="00101A26"/>
    <w:rsid w:val="00101B2F"/>
    <w:rsid w:val="00101F25"/>
    <w:rsid w:val="00101FE5"/>
    <w:rsid w:val="00102164"/>
    <w:rsid w:val="001029A3"/>
    <w:rsid w:val="0010350A"/>
    <w:rsid w:val="001035D8"/>
    <w:rsid w:val="00104805"/>
    <w:rsid w:val="0010509B"/>
    <w:rsid w:val="00105196"/>
    <w:rsid w:val="001051F5"/>
    <w:rsid w:val="00105375"/>
    <w:rsid w:val="00105D49"/>
    <w:rsid w:val="001062E4"/>
    <w:rsid w:val="00106C1E"/>
    <w:rsid w:val="00107342"/>
    <w:rsid w:val="00107634"/>
    <w:rsid w:val="001102BD"/>
    <w:rsid w:val="00110598"/>
    <w:rsid w:val="00110607"/>
    <w:rsid w:val="00110B70"/>
    <w:rsid w:val="00111092"/>
    <w:rsid w:val="001115D3"/>
    <w:rsid w:val="00111609"/>
    <w:rsid w:val="00111C01"/>
    <w:rsid w:val="0011291B"/>
    <w:rsid w:val="00112B97"/>
    <w:rsid w:val="00112FA0"/>
    <w:rsid w:val="00112FFB"/>
    <w:rsid w:val="001136B7"/>
    <w:rsid w:val="001137EA"/>
    <w:rsid w:val="00113CE1"/>
    <w:rsid w:val="00114E29"/>
    <w:rsid w:val="001150CC"/>
    <w:rsid w:val="0011568F"/>
    <w:rsid w:val="00115A40"/>
    <w:rsid w:val="00115BDD"/>
    <w:rsid w:val="00116A2B"/>
    <w:rsid w:val="00116E28"/>
    <w:rsid w:val="00116E9D"/>
    <w:rsid w:val="00120385"/>
    <w:rsid w:val="00120F81"/>
    <w:rsid w:val="001211BF"/>
    <w:rsid w:val="0012198F"/>
    <w:rsid w:val="00121CE1"/>
    <w:rsid w:val="0012222A"/>
    <w:rsid w:val="0012256B"/>
    <w:rsid w:val="001227CB"/>
    <w:rsid w:val="001229DC"/>
    <w:rsid w:val="00122CC8"/>
    <w:rsid w:val="001231F4"/>
    <w:rsid w:val="00123F06"/>
    <w:rsid w:val="0012407F"/>
    <w:rsid w:val="0012432C"/>
    <w:rsid w:val="001244D1"/>
    <w:rsid w:val="00124FBF"/>
    <w:rsid w:val="0012511E"/>
    <w:rsid w:val="00125737"/>
    <w:rsid w:val="001262B7"/>
    <w:rsid w:val="001262D9"/>
    <w:rsid w:val="00126332"/>
    <w:rsid w:val="0012659D"/>
    <w:rsid w:val="00126741"/>
    <w:rsid w:val="001269C1"/>
    <w:rsid w:val="001269E9"/>
    <w:rsid w:val="00126CE3"/>
    <w:rsid w:val="00127038"/>
    <w:rsid w:val="0012792B"/>
    <w:rsid w:val="00130BC3"/>
    <w:rsid w:val="001317CB"/>
    <w:rsid w:val="0013197E"/>
    <w:rsid w:val="00131E13"/>
    <w:rsid w:val="00132231"/>
    <w:rsid w:val="00133263"/>
    <w:rsid w:val="00133366"/>
    <w:rsid w:val="001338C1"/>
    <w:rsid w:val="00134EE8"/>
    <w:rsid w:val="001368EA"/>
    <w:rsid w:val="0013706B"/>
    <w:rsid w:val="00140874"/>
    <w:rsid w:val="00140CDE"/>
    <w:rsid w:val="001420CB"/>
    <w:rsid w:val="00142176"/>
    <w:rsid w:val="00142A08"/>
    <w:rsid w:val="0014346C"/>
    <w:rsid w:val="00143966"/>
    <w:rsid w:val="00143B00"/>
    <w:rsid w:val="00144851"/>
    <w:rsid w:val="00144C59"/>
    <w:rsid w:val="00144F37"/>
    <w:rsid w:val="0014610C"/>
    <w:rsid w:val="001461BA"/>
    <w:rsid w:val="00146475"/>
    <w:rsid w:val="00146595"/>
    <w:rsid w:val="00146AA6"/>
    <w:rsid w:val="00147164"/>
    <w:rsid w:val="00147B8A"/>
    <w:rsid w:val="001508AE"/>
    <w:rsid w:val="00150913"/>
    <w:rsid w:val="00150AF3"/>
    <w:rsid w:val="00151AE9"/>
    <w:rsid w:val="0015216C"/>
    <w:rsid w:val="00152AD2"/>
    <w:rsid w:val="00152BD8"/>
    <w:rsid w:val="00152C84"/>
    <w:rsid w:val="00152E19"/>
    <w:rsid w:val="00152F12"/>
    <w:rsid w:val="00153D8D"/>
    <w:rsid w:val="00154238"/>
    <w:rsid w:val="0015438C"/>
    <w:rsid w:val="0015501C"/>
    <w:rsid w:val="0015558F"/>
    <w:rsid w:val="00155BAB"/>
    <w:rsid w:val="00157A45"/>
    <w:rsid w:val="001602BD"/>
    <w:rsid w:val="001606EB"/>
    <w:rsid w:val="00160C50"/>
    <w:rsid w:val="00161004"/>
    <w:rsid w:val="0016214A"/>
    <w:rsid w:val="0016243B"/>
    <w:rsid w:val="00162988"/>
    <w:rsid w:val="00164556"/>
    <w:rsid w:val="00164B34"/>
    <w:rsid w:val="00166953"/>
    <w:rsid w:val="00167DEC"/>
    <w:rsid w:val="00167F5B"/>
    <w:rsid w:val="00172FAC"/>
    <w:rsid w:val="0017316A"/>
    <w:rsid w:val="001731FF"/>
    <w:rsid w:val="00174B48"/>
    <w:rsid w:val="00174F28"/>
    <w:rsid w:val="0017580C"/>
    <w:rsid w:val="00176196"/>
    <w:rsid w:val="001764A2"/>
    <w:rsid w:val="00176772"/>
    <w:rsid w:val="00176775"/>
    <w:rsid w:val="00176A2C"/>
    <w:rsid w:val="00177324"/>
    <w:rsid w:val="00181258"/>
    <w:rsid w:val="00181E2E"/>
    <w:rsid w:val="001824C6"/>
    <w:rsid w:val="00182AC7"/>
    <w:rsid w:val="00182C42"/>
    <w:rsid w:val="00182C8B"/>
    <w:rsid w:val="00183139"/>
    <w:rsid w:val="00184171"/>
    <w:rsid w:val="0018418C"/>
    <w:rsid w:val="001844E7"/>
    <w:rsid w:val="00184728"/>
    <w:rsid w:val="00184D6B"/>
    <w:rsid w:val="0018504D"/>
    <w:rsid w:val="00187111"/>
    <w:rsid w:val="00187370"/>
    <w:rsid w:val="00190580"/>
    <w:rsid w:val="00190BFD"/>
    <w:rsid w:val="00191B09"/>
    <w:rsid w:val="00191F38"/>
    <w:rsid w:val="00192A93"/>
    <w:rsid w:val="00192EC6"/>
    <w:rsid w:val="0019412F"/>
    <w:rsid w:val="001944C9"/>
    <w:rsid w:val="00194ABD"/>
    <w:rsid w:val="00194E15"/>
    <w:rsid w:val="00195B34"/>
    <w:rsid w:val="00195F75"/>
    <w:rsid w:val="00196920"/>
    <w:rsid w:val="001972CC"/>
    <w:rsid w:val="00197599"/>
    <w:rsid w:val="001A2251"/>
    <w:rsid w:val="001A2939"/>
    <w:rsid w:val="001A2A12"/>
    <w:rsid w:val="001A2D16"/>
    <w:rsid w:val="001A3041"/>
    <w:rsid w:val="001A35FF"/>
    <w:rsid w:val="001A3C48"/>
    <w:rsid w:val="001A4422"/>
    <w:rsid w:val="001A50C1"/>
    <w:rsid w:val="001A5943"/>
    <w:rsid w:val="001A6439"/>
    <w:rsid w:val="001A64D1"/>
    <w:rsid w:val="001A6537"/>
    <w:rsid w:val="001A68A0"/>
    <w:rsid w:val="001A770E"/>
    <w:rsid w:val="001A7EA1"/>
    <w:rsid w:val="001B0327"/>
    <w:rsid w:val="001B061F"/>
    <w:rsid w:val="001B0626"/>
    <w:rsid w:val="001B0ACF"/>
    <w:rsid w:val="001B0E2F"/>
    <w:rsid w:val="001B136E"/>
    <w:rsid w:val="001B214E"/>
    <w:rsid w:val="001B2258"/>
    <w:rsid w:val="001B24F2"/>
    <w:rsid w:val="001B2734"/>
    <w:rsid w:val="001B2EBD"/>
    <w:rsid w:val="001B4D1B"/>
    <w:rsid w:val="001B5655"/>
    <w:rsid w:val="001B58AF"/>
    <w:rsid w:val="001B60B3"/>
    <w:rsid w:val="001B6C20"/>
    <w:rsid w:val="001B705E"/>
    <w:rsid w:val="001B75AF"/>
    <w:rsid w:val="001B7992"/>
    <w:rsid w:val="001C06B7"/>
    <w:rsid w:val="001C0726"/>
    <w:rsid w:val="001C0EA2"/>
    <w:rsid w:val="001C18B1"/>
    <w:rsid w:val="001C1D42"/>
    <w:rsid w:val="001C2007"/>
    <w:rsid w:val="001C2914"/>
    <w:rsid w:val="001C3299"/>
    <w:rsid w:val="001C3BB0"/>
    <w:rsid w:val="001C3DC0"/>
    <w:rsid w:val="001C42C5"/>
    <w:rsid w:val="001C4576"/>
    <w:rsid w:val="001C5186"/>
    <w:rsid w:val="001C5C34"/>
    <w:rsid w:val="001C66B2"/>
    <w:rsid w:val="001C694A"/>
    <w:rsid w:val="001C6DDD"/>
    <w:rsid w:val="001C70FB"/>
    <w:rsid w:val="001D02C0"/>
    <w:rsid w:val="001D0586"/>
    <w:rsid w:val="001D07A6"/>
    <w:rsid w:val="001D105D"/>
    <w:rsid w:val="001D1294"/>
    <w:rsid w:val="001D1F74"/>
    <w:rsid w:val="001D21A7"/>
    <w:rsid w:val="001D269F"/>
    <w:rsid w:val="001D2761"/>
    <w:rsid w:val="001D2F8A"/>
    <w:rsid w:val="001D33B4"/>
    <w:rsid w:val="001D3647"/>
    <w:rsid w:val="001D5E1C"/>
    <w:rsid w:val="001D673F"/>
    <w:rsid w:val="001D6C63"/>
    <w:rsid w:val="001D7EB5"/>
    <w:rsid w:val="001E0831"/>
    <w:rsid w:val="001E1DD2"/>
    <w:rsid w:val="001E22CA"/>
    <w:rsid w:val="001E25E1"/>
    <w:rsid w:val="001E311E"/>
    <w:rsid w:val="001E312E"/>
    <w:rsid w:val="001E3A88"/>
    <w:rsid w:val="001E3D9B"/>
    <w:rsid w:val="001E499B"/>
    <w:rsid w:val="001E554A"/>
    <w:rsid w:val="001E64E8"/>
    <w:rsid w:val="001E6721"/>
    <w:rsid w:val="001E6D26"/>
    <w:rsid w:val="001E72D3"/>
    <w:rsid w:val="001E77C6"/>
    <w:rsid w:val="001E7BE7"/>
    <w:rsid w:val="001E7E39"/>
    <w:rsid w:val="001F08D2"/>
    <w:rsid w:val="001F1E9E"/>
    <w:rsid w:val="001F27D7"/>
    <w:rsid w:val="001F2D7D"/>
    <w:rsid w:val="001F3727"/>
    <w:rsid w:val="001F404D"/>
    <w:rsid w:val="001F4F70"/>
    <w:rsid w:val="001F5581"/>
    <w:rsid w:val="001F55AC"/>
    <w:rsid w:val="001F5B24"/>
    <w:rsid w:val="001F62B8"/>
    <w:rsid w:val="001F6361"/>
    <w:rsid w:val="001F63EF"/>
    <w:rsid w:val="001F730F"/>
    <w:rsid w:val="001F7BD7"/>
    <w:rsid w:val="0020097B"/>
    <w:rsid w:val="00201CC6"/>
    <w:rsid w:val="00202CEE"/>
    <w:rsid w:val="002036B5"/>
    <w:rsid w:val="0020403C"/>
    <w:rsid w:val="00204C17"/>
    <w:rsid w:val="002056FB"/>
    <w:rsid w:val="002059DE"/>
    <w:rsid w:val="00206EC6"/>
    <w:rsid w:val="0020745E"/>
    <w:rsid w:val="002074EF"/>
    <w:rsid w:val="0020778D"/>
    <w:rsid w:val="00207A48"/>
    <w:rsid w:val="00207DF0"/>
    <w:rsid w:val="00210D19"/>
    <w:rsid w:val="00211321"/>
    <w:rsid w:val="00212167"/>
    <w:rsid w:val="002123CE"/>
    <w:rsid w:val="00212477"/>
    <w:rsid w:val="002126DA"/>
    <w:rsid w:val="00213A02"/>
    <w:rsid w:val="00213AE3"/>
    <w:rsid w:val="002145D0"/>
    <w:rsid w:val="00214919"/>
    <w:rsid w:val="0021494C"/>
    <w:rsid w:val="00214D4E"/>
    <w:rsid w:val="00214EF5"/>
    <w:rsid w:val="00215314"/>
    <w:rsid w:val="002159FD"/>
    <w:rsid w:val="00216200"/>
    <w:rsid w:val="00216370"/>
    <w:rsid w:val="002168B2"/>
    <w:rsid w:val="0021692B"/>
    <w:rsid w:val="00216AFF"/>
    <w:rsid w:val="00216C55"/>
    <w:rsid w:val="00216D29"/>
    <w:rsid w:val="0021722A"/>
    <w:rsid w:val="00217473"/>
    <w:rsid w:val="002175B3"/>
    <w:rsid w:val="0022067A"/>
    <w:rsid w:val="00220AA4"/>
    <w:rsid w:val="00221AFD"/>
    <w:rsid w:val="00221BC8"/>
    <w:rsid w:val="00221CEB"/>
    <w:rsid w:val="00221DB3"/>
    <w:rsid w:val="00221DC3"/>
    <w:rsid w:val="00222A8E"/>
    <w:rsid w:val="00225557"/>
    <w:rsid w:val="00226393"/>
    <w:rsid w:val="002264BD"/>
    <w:rsid w:val="00227285"/>
    <w:rsid w:val="0022730F"/>
    <w:rsid w:val="00227C6B"/>
    <w:rsid w:val="0023014F"/>
    <w:rsid w:val="00230262"/>
    <w:rsid w:val="00230DEF"/>
    <w:rsid w:val="00231287"/>
    <w:rsid w:val="002312D2"/>
    <w:rsid w:val="0023130D"/>
    <w:rsid w:val="0023160C"/>
    <w:rsid w:val="00231BC9"/>
    <w:rsid w:val="00232112"/>
    <w:rsid w:val="002326D0"/>
    <w:rsid w:val="00232AAC"/>
    <w:rsid w:val="002331B6"/>
    <w:rsid w:val="0023388D"/>
    <w:rsid w:val="00233925"/>
    <w:rsid w:val="0023434A"/>
    <w:rsid w:val="00234C2D"/>
    <w:rsid w:val="00235693"/>
    <w:rsid w:val="00235936"/>
    <w:rsid w:val="00235A36"/>
    <w:rsid w:val="00236204"/>
    <w:rsid w:val="0023686B"/>
    <w:rsid w:val="00236E87"/>
    <w:rsid w:val="002379CE"/>
    <w:rsid w:val="00240003"/>
    <w:rsid w:val="00240475"/>
    <w:rsid w:val="002405A9"/>
    <w:rsid w:val="00240ABF"/>
    <w:rsid w:val="00240E8C"/>
    <w:rsid w:val="00241AC1"/>
    <w:rsid w:val="00241C5E"/>
    <w:rsid w:val="00242286"/>
    <w:rsid w:val="0024273A"/>
    <w:rsid w:val="00242C53"/>
    <w:rsid w:val="00242F27"/>
    <w:rsid w:val="00242F57"/>
    <w:rsid w:val="002434AC"/>
    <w:rsid w:val="00244585"/>
    <w:rsid w:val="002445F7"/>
    <w:rsid w:val="002449D0"/>
    <w:rsid w:val="0024540F"/>
    <w:rsid w:val="0024547F"/>
    <w:rsid w:val="00246249"/>
    <w:rsid w:val="002472DB"/>
    <w:rsid w:val="002473AC"/>
    <w:rsid w:val="0024785D"/>
    <w:rsid w:val="00247B20"/>
    <w:rsid w:val="00247DD6"/>
    <w:rsid w:val="00250123"/>
    <w:rsid w:val="002502FB"/>
    <w:rsid w:val="00250AF7"/>
    <w:rsid w:val="00250D47"/>
    <w:rsid w:val="002511CC"/>
    <w:rsid w:val="0025121C"/>
    <w:rsid w:val="00251AE3"/>
    <w:rsid w:val="00251E29"/>
    <w:rsid w:val="00253A7D"/>
    <w:rsid w:val="00253B04"/>
    <w:rsid w:val="00254174"/>
    <w:rsid w:val="002555F3"/>
    <w:rsid w:val="00255800"/>
    <w:rsid w:val="00255B3B"/>
    <w:rsid w:val="002564FB"/>
    <w:rsid w:val="002565F1"/>
    <w:rsid w:val="00257454"/>
    <w:rsid w:val="002576A6"/>
    <w:rsid w:val="00257B8D"/>
    <w:rsid w:val="00257C60"/>
    <w:rsid w:val="00257DD3"/>
    <w:rsid w:val="002603CE"/>
    <w:rsid w:val="0026065B"/>
    <w:rsid w:val="002606A5"/>
    <w:rsid w:val="002611DD"/>
    <w:rsid w:val="002611F4"/>
    <w:rsid w:val="002614B7"/>
    <w:rsid w:val="0026230D"/>
    <w:rsid w:val="00262BE2"/>
    <w:rsid w:val="00263578"/>
    <w:rsid w:val="00263701"/>
    <w:rsid w:val="00263FC7"/>
    <w:rsid w:val="00264199"/>
    <w:rsid w:val="00264244"/>
    <w:rsid w:val="00265289"/>
    <w:rsid w:val="00265563"/>
    <w:rsid w:val="0026607A"/>
    <w:rsid w:val="00266385"/>
    <w:rsid w:val="00266BEF"/>
    <w:rsid w:val="00266F14"/>
    <w:rsid w:val="0026768F"/>
    <w:rsid w:val="002679CE"/>
    <w:rsid w:val="00267D79"/>
    <w:rsid w:val="002710E7"/>
    <w:rsid w:val="002711B7"/>
    <w:rsid w:val="002716CD"/>
    <w:rsid w:val="00271A21"/>
    <w:rsid w:val="00271A70"/>
    <w:rsid w:val="00271A88"/>
    <w:rsid w:val="00271C0F"/>
    <w:rsid w:val="002725BB"/>
    <w:rsid w:val="00272626"/>
    <w:rsid w:val="00272ACA"/>
    <w:rsid w:val="00274682"/>
    <w:rsid w:val="002756F0"/>
    <w:rsid w:val="0027586C"/>
    <w:rsid w:val="00275891"/>
    <w:rsid w:val="00275ACF"/>
    <w:rsid w:val="00275C55"/>
    <w:rsid w:val="0027652B"/>
    <w:rsid w:val="00276A50"/>
    <w:rsid w:val="00276A6F"/>
    <w:rsid w:val="00280F6A"/>
    <w:rsid w:val="00280FE9"/>
    <w:rsid w:val="002813F6"/>
    <w:rsid w:val="00281E68"/>
    <w:rsid w:val="0028230B"/>
    <w:rsid w:val="00282859"/>
    <w:rsid w:val="0028285C"/>
    <w:rsid w:val="00282CE7"/>
    <w:rsid w:val="0028322C"/>
    <w:rsid w:val="00283CFD"/>
    <w:rsid w:val="002858C8"/>
    <w:rsid w:val="00285D0B"/>
    <w:rsid w:val="002861BC"/>
    <w:rsid w:val="00286CB6"/>
    <w:rsid w:val="002900F7"/>
    <w:rsid w:val="002902C7"/>
    <w:rsid w:val="002908D9"/>
    <w:rsid w:val="00290B7E"/>
    <w:rsid w:val="002913AB"/>
    <w:rsid w:val="002916E4"/>
    <w:rsid w:val="00291756"/>
    <w:rsid w:val="00291D21"/>
    <w:rsid w:val="00292DFE"/>
    <w:rsid w:val="002939FA"/>
    <w:rsid w:val="0029428C"/>
    <w:rsid w:val="0029446C"/>
    <w:rsid w:val="0029500F"/>
    <w:rsid w:val="00295045"/>
    <w:rsid w:val="00295B73"/>
    <w:rsid w:val="00295E50"/>
    <w:rsid w:val="00296233"/>
    <w:rsid w:val="00296787"/>
    <w:rsid w:val="00296806"/>
    <w:rsid w:val="00296CA4"/>
    <w:rsid w:val="00296E50"/>
    <w:rsid w:val="00297009"/>
    <w:rsid w:val="00297ADB"/>
    <w:rsid w:val="00297C17"/>
    <w:rsid w:val="00297FE9"/>
    <w:rsid w:val="002A0D56"/>
    <w:rsid w:val="002A0EEE"/>
    <w:rsid w:val="002A146C"/>
    <w:rsid w:val="002A200C"/>
    <w:rsid w:val="002A2060"/>
    <w:rsid w:val="002A4BBC"/>
    <w:rsid w:val="002A535A"/>
    <w:rsid w:val="002A57C5"/>
    <w:rsid w:val="002A6398"/>
    <w:rsid w:val="002A6825"/>
    <w:rsid w:val="002A6A4C"/>
    <w:rsid w:val="002A7312"/>
    <w:rsid w:val="002A781D"/>
    <w:rsid w:val="002B1311"/>
    <w:rsid w:val="002B14BB"/>
    <w:rsid w:val="002B2590"/>
    <w:rsid w:val="002B29E6"/>
    <w:rsid w:val="002B2BFE"/>
    <w:rsid w:val="002B2FDD"/>
    <w:rsid w:val="002B351A"/>
    <w:rsid w:val="002B3C1B"/>
    <w:rsid w:val="002B408A"/>
    <w:rsid w:val="002B413A"/>
    <w:rsid w:val="002B496E"/>
    <w:rsid w:val="002B4D2E"/>
    <w:rsid w:val="002B5BB9"/>
    <w:rsid w:val="002B68A1"/>
    <w:rsid w:val="002B69F3"/>
    <w:rsid w:val="002B6BD7"/>
    <w:rsid w:val="002B6DC8"/>
    <w:rsid w:val="002B7195"/>
    <w:rsid w:val="002B7351"/>
    <w:rsid w:val="002B7BDD"/>
    <w:rsid w:val="002B7C28"/>
    <w:rsid w:val="002C0226"/>
    <w:rsid w:val="002C045E"/>
    <w:rsid w:val="002C10CA"/>
    <w:rsid w:val="002C1229"/>
    <w:rsid w:val="002C159C"/>
    <w:rsid w:val="002C1632"/>
    <w:rsid w:val="002C4192"/>
    <w:rsid w:val="002C41B8"/>
    <w:rsid w:val="002C4A0E"/>
    <w:rsid w:val="002C4C4E"/>
    <w:rsid w:val="002C4E8C"/>
    <w:rsid w:val="002C5AE9"/>
    <w:rsid w:val="002C6237"/>
    <w:rsid w:val="002C65F2"/>
    <w:rsid w:val="002C7DA6"/>
    <w:rsid w:val="002D0272"/>
    <w:rsid w:val="002D0A0B"/>
    <w:rsid w:val="002D0B78"/>
    <w:rsid w:val="002D0C61"/>
    <w:rsid w:val="002D23E9"/>
    <w:rsid w:val="002D2F8B"/>
    <w:rsid w:val="002D34D2"/>
    <w:rsid w:val="002D36D0"/>
    <w:rsid w:val="002D3773"/>
    <w:rsid w:val="002D4179"/>
    <w:rsid w:val="002D51A1"/>
    <w:rsid w:val="002D51E7"/>
    <w:rsid w:val="002D527D"/>
    <w:rsid w:val="002D5C7D"/>
    <w:rsid w:val="002D6A8F"/>
    <w:rsid w:val="002E03F4"/>
    <w:rsid w:val="002E0531"/>
    <w:rsid w:val="002E1333"/>
    <w:rsid w:val="002E1544"/>
    <w:rsid w:val="002E1893"/>
    <w:rsid w:val="002E1DEC"/>
    <w:rsid w:val="002E1E6A"/>
    <w:rsid w:val="002E211E"/>
    <w:rsid w:val="002E2460"/>
    <w:rsid w:val="002E28B4"/>
    <w:rsid w:val="002E2C17"/>
    <w:rsid w:val="002E2D4F"/>
    <w:rsid w:val="002E2E81"/>
    <w:rsid w:val="002E2F32"/>
    <w:rsid w:val="002E3355"/>
    <w:rsid w:val="002E3A47"/>
    <w:rsid w:val="002E3C38"/>
    <w:rsid w:val="002E3D29"/>
    <w:rsid w:val="002E40D8"/>
    <w:rsid w:val="002E4901"/>
    <w:rsid w:val="002E4991"/>
    <w:rsid w:val="002E4D36"/>
    <w:rsid w:val="002E4F8C"/>
    <w:rsid w:val="002E5C41"/>
    <w:rsid w:val="002E69E3"/>
    <w:rsid w:val="002E6E97"/>
    <w:rsid w:val="002E6F34"/>
    <w:rsid w:val="002E7C0A"/>
    <w:rsid w:val="002F00D0"/>
    <w:rsid w:val="002F020F"/>
    <w:rsid w:val="002F0635"/>
    <w:rsid w:val="002F12E9"/>
    <w:rsid w:val="002F220E"/>
    <w:rsid w:val="002F24A0"/>
    <w:rsid w:val="002F286D"/>
    <w:rsid w:val="002F2BE5"/>
    <w:rsid w:val="002F3F15"/>
    <w:rsid w:val="002F4294"/>
    <w:rsid w:val="002F5ABA"/>
    <w:rsid w:val="002F6F9E"/>
    <w:rsid w:val="002F719A"/>
    <w:rsid w:val="002F79D6"/>
    <w:rsid w:val="003007BA"/>
    <w:rsid w:val="00301595"/>
    <w:rsid w:val="00301D53"/>
    <w:rsid w:val="00302689"/>
    <w:rsid w:val="003026EF"/>
    <w:rsid w:val="0030270F"/>
    <w:rsid w:val="00302D3F"/>
    <w:rsid w:val="00303255"/>
    <w:rsid w:val="003032EA"/>
    <w:rsid w:val="00303E78"/>
    <w:rsid w:val="003051EE"/>
    <w:rsid w:val="00305466"/>
    <w:rsid w:val="00305FD1"/>
    <w:rsid w:val="00306B92"/>
    <w:rsid w:val="003073D0"/>
    <w:rsid w:val="00307AEB"/>
    <w:rsid w:val="00310117"/>
    <w:rsid w:val="00310214"/>
    <w:rsid w:val="0031049D"/>
    <w:rsid w:val="003106C8"/>
    <w:rsid w:val="00311D82"/>
    <w:rsid w:val="0031283D"/>
    <w:rsid w:val="003129FA"/>
    <w:rsid w:val="00312A4B"/>
    <w:rsid w:val="0031313B"/>
    <w:rsid w:val="00313AD6"/>
    <w:rsid w:val="00313E6F"/>
    <w:rsid w:val="00314B2F"/>
    <w:rsid w:val="00314EB8"/>
    <w:rsid w:val="00315575"/>
    <w:rsid w:val="0031762A"/>
    <w:rsid w:val="0032008F"/>
    <w:rsid w:val="00320333"/>
    <w:rsid w:val="00320A8D"/>
    <w:rsid w:val="00320D2E"/>
    <w:rsid w:val="00321385"/>
    <w:rsid w:val="00321765"/>
    <w:rsid w:val="003219FE"/>
    <w:rsid w:val="00321F1B"/>
    <w:rsid w:val="00321FB4"/>
    <w:rsid w:val="003227CE"/>
    <w:rsid w:val="0032282F"/>
    <w:rsid w:val="003232C7"/>
    <w:rsid w:val="003235ED"/>
    <w:rsid w:val="00323AC2"/>
    <w:rsid w:val="00323C3C"/>
    <w:rsid w:val="0032436E"/>
    <w:rsid w:val="0032527A"/>
    <w:rsid w:val="00325B18"/>
    <w:rsid w:val="0032609B"/>
    <w:rsid w:val="0032637C"/>
    <w:rsid w:val="00326588"/>
    <w:rsid w:val="00326998"/>
    <w:rsid w:val="00327903"/>
    <w:rsid w:val="00330567"/>
    <w:rsid w:val="00330E20"/>
    <w:rsid w:val="00331AB3"/>
    <w:rsid w:val="0033218C"/>
    <w:rsid w:val="003321E1"/>
    <w:rsid w:val="00332276"/>
    <w:rsid w:val="003322B7"/>
    <w:rsid w:val="003327F0"/>
    <w:rsid w:val="00332A29"/>
    <w:rsid w:val="00332ABB"/>
    <w:rsid w:val="00332B5D"/>
    <w:rsid w:val="00332E28"/>
    <w:rsid w:val="003331CA"/>
    <w:rsid w:val="003332C7"/>
    <w:rsid w:val="0033437E"/>
    <w:rsid w:val="00334932"/>
    <w:rsid w:val="00335056"/>
    <w:rsid w:val="00335221"/>
    <w:rsid w:val="003353AD"/>
    <w:rsid w:val="003376F7"/>
    <w:rsid w:val="0033795E"/>
    <w:rsid w:val="00340106"/>
    <w:rsid w:val="0034010A"/>
    <w:rsid w:val="0034043F"/>
    <w:rsid w:val="00341CF9"/>
    <w:rsid w:val="00342296"/>
    <w:rsid w:val="003435C2"/>
    <w:rsid w:val="003450AC"/>
    <w:rsid w:val="003455C5"/>
    <w:rsid w:val="003455F8"/>
    <w:rsid w:val="003455FA"/>
    <w:rsid w:val="003456CB"/>
    <w:rsid w:val="00347E42"/>
    <w:rsid w:val="0035076E"/>
    <w:rsid w:val="00350ADA"/>
    <w:rsid w:val="00350B1B"/>
    <w:rsid w:val="00350C8B"/>
    <w:rsid w:val="00350DAE"/>
    <w:rsid w:val="0035156F"/>
    <w:rsid w:val="00351D31"/>
    <w:rsid w:val="003520F5"/>
    <w:rsid w:val="003537DF"/>
    <w:rsid w:val="0035399B"/>
    <w:rsid w:val="00353E79"/>
    <w:rsid w:val="003549CC"/>
    <w:rsid w:val="00354AE8"/>
    <w:rsid w:val="003557CD"/>
    <w:rsid w:val="00356E21"/>
    <w:rsid w:val="003575D4"/>
    <w:rsid w:val="003606BB"/>
    <w:rsid w:val="00360C82"/>
    <w:rsid w:val="003613A1"/>
    <w:rsid w:val="003615C4"/>
    <w:rsid w:val="0036176C"/>
    <w:rsid w:val="003618BF"/>
    <w:rsid w:val="00362263"/>
    <w:rsid w:val="003625EC"/>
    <w:rsid w:val="00362B52"/>
    <w:rsid w:val="003637D6"/>
    <w:rsid w:val="00363E6D"/>
    <w:rsid w:val="00363EC1"/>
    <w:rsid w:val="00363EE2"/>
    <w:rsid w:val="00364A77"/>
    <w:rsid w:val="00364DC7"/>
    <w:rsid w:val="00364F62"/>
    <w:rsid w:val="00365BD8"/>
    <w:rsid w:val="00367354"/>
    <w:rsid w:val="00367CC6"/>
    <w:rsid w:val="00367E39"/>
    <w:rsid w:val="0037108D"/>
    <w:rsid w:val="003710F8"/>
    <w:rsid w:val="00371454"/>
    <w:rsid w:val="00371874"/>
    <w:rsid w:val="00371B43"/>
    <w:rsid w:val="00372708"/>
    <w:rsid w:val="00372E70"/>
    <w:rsid w:val="003736BD"/>
    <w:rsid w:val="00373818"/>
    <w:rsid w:val="00374335"/>
    <w:rsid w:val="003743BB"/>
    <w:rsid w:val="00374C91"/>
    <w:rsid w:val="0037521B"/>
    <w:rsid w:val="003754E1"/>
    <w:rsid w:val="00375994"/>
    <w:rsid w:val="00375999"/>
    <w:rsid w:val="00375BC9"/>
    <w:rsid w:val="00376145"/>
    <w:rsid w:val="003761FB"/>
    <w:rsid w:val="00376C17"/>
    <w:rsid w:val="00376CEB"/>
    <w:rsid w:val="00376E54"/>
    <w:rsid w:val="00377718"/>
    <w:rsid w:val="003777CA"/>
    <w:rsid w:val="00380784"/>
    <w:rsid w:val="00380F6E"/>
    <w:rsid w:val="00381ABD"/>
    <w:rsid w:val="00382538"/>
    <w:rsid w:val="003825BC"/>
    <w:rsid w:val="0038275C"/>
    <w:rsid w:val="00382844"/>
    <w:rsid w:val="00382C00"/>
    <w:rsid w:val="00382E7D"/>
    <w:rsid w:val="00382E90"/>
    <w:rsid w:val="00383386"/>
    <w:rsid w:val="00384C3B"/>
    <w:rsid w:val="00384C4E"/>
    <w:rsid w:val="003852F2"/>
    <w:rsid w:val="00385527"/>
    <w:rsid w:val="0038667D"/>
    <w:rsid w:val="003868D8"/>
    <w:rsid w:val="00386E27"/>
    <w:rsid w:val="00387048"/>
    <w:rsid w:val="00387DB8"/>
    <w:rsid w:val="00387F50"/>
    <w:rsid w:val="00391741"/>
    <w:rsid w:val="0039189A"/>
    <w:rsid w:val="003930C6"/>
    <w:rsid w:val="0039342B"/>
    <w:rsid w:val="00394C19"/>
    <w:rsid w:val="00395982"/>
    <w:rsid w:val="00396335"/>
    <w:rsid w:val="003971C5"/>
    <w:rsid w:val="0039792F"/>
    <w:rsid w:val="00397DB2"/>
    <w:rsid w:val="003A036D"/>
    <w:rsid w:val="003A0691"/>
    <w:rsid w:val="003A0C13"/>
    <w:rsid w:val="003A0EBE"/>
    <w:rsid w:val="003A0F6E"/>
    <w:rsid w:val="003A14A8"/>
    <w:rsid w:val="003A1C0E"/>
    <w:rsid w:val="003A1FAC"/>
    <w:rsid w:val="003A2A60"/>
    <w:rsid w:val="003A2BE2"/>
    <w:rsid w:val="003A2CAD"/>
    <w:rsid w:val="003A3BEA"/>
    <w:rsid w:val="003A3E46"/>
    <w:rsid w:val="003A4069"/>
    <w:rsid w:val="003A45AC"/>
    <w:rsid w:val="003A48AA"/>
    <w:rsid w:val="003A4A00"/>
    <w:rsid w:val="003A5755"/>
    <w:rsid w:val="003A5BC4"/>
    <w:rsid w:val="003A64B9"/>
    <w:rsid w:val="003A69F3"/>
    <w:rsid w:val="003A6BC9"/>
    <w:rsid w:val="003A7D80"/>
    <w:rsid w:val="003A7EC6"/>
    <w:rsid w:val="003B0F32"/>
    <w:rsid w:val="003B37BC"/>
    <w:rsid w:val="003B3BCB"/>
    <w:rsid w:val="003B428F"/>
    <w:rsid w:val="003B43A0"/>
    <w:rsid w:val="003B49D2"/>
    <w:rsid w:val="003B51B7"/>
    <w:rsid w:val="003B5346"/>
    <w:rsid w:val="003B5697"/>
    <w:rsid w:val="003B6231"/>
    <w:rsid w:val="003B670D"/>
    <w:rsid w:val="003B69F4"/>
    <w:rsid w:val="003B6F6D"/>
    <w:rsid w:val="003B7313"/>
    <w:rsid w:val="003B77F5"/>
    <w:rsid w:val="003B7B00"/>
    <w:rsid w:val="003B7CAF"/>
    <w:rsid w:val="003B7ED3"/>
    <w:rsid w:val="003C0AAA"/>
    <w:rsid w:val="003C0CF7"/>
    <w:rsid w:val="003C14D0"/>
    <w:rsid w:val="003C1650"/>
    <w:rsid w:val="003C2011"/>
    <w:rsid w:val="003C2308"/>
    <w:rsid w:val="003C257B"/>
    <w:rsid w:val="003C288F"/>
    <w:rsid w:val="003C2D33"/>
    <w:rsid w:val="003C2EEC"/>
    <w:rsid w:val="003C3100"/>
    <w:rsid w:val="003C458C"/>
    <w:rsid w:val="003C4D79"/>
    <w:rsid w:val="003C511F"/>
    <w:rsid w:val="003C5E74"/>
    <w:rsid w:val="003C5EA7"/>
    <w:rsid w:val="003C63D4"/>
    <w:rsid w:val="003C6BAA"/>
    <w:rsid w:val="003C6F74"/>
    <w:rsid w:val="003C70B3"/>
    <w:rsid w:val="003D0190"/>
    <w:rsid w:val="003D01F0"/>
    <w:rsid w:val="003D0A51"/>
    <w:rsid w:val="003D0C36"/>
    <w:rsid w:val="003D1145"/>
    <w:rsid w:val="003D1CFD"/>
    <w:rsid w:val="003D3BB0"/>
    <w:rsid w:val="003D5AB0"/>
    <w:rsid w:val="003D5F2B"/>
    <w:rsid w:val="003D6728"/>
    <w:rsid w:val="003D73D5"/>
    <w:rsid w:val="003D752E"/>
    <w:rsid w:val="003E049B"/>
    <w:rsid w:val="003E1355"/>
    <w:rsid w:val="003E141E"/>
    <w:rsid w:val="003E19F4"/>
    <w:rsid w:val="003E1F3B"/>
    <w:rsid w:val="003E275E"/>
    <w:rsid w:val="003E3071"/>
    <w:rsid w:val="003E34CA"/>
    <w:rsid w:val="003E4497"/>
    <w:rsid w:val="003E44A9"/>
    <w:rsid w:val="003E47FC"/>
    <w:rsid w:val="003E483C"/>
    <w:rsid w:val="003E762D"/>
    <w:rsid w:val="003E7AC6"/>
    <w:rsid w:val="003E7BA6"/>
    <w:rsid w:val="003F004C"/>
    <w:rsid w:val="003F02AD"/>
    <w:rsid w:val="003F08B3"/>
    <w:rsid w:val="003F0C81"/>
    <w:rsid w:val="003F16DC"/>
    <w:rsid w:val="003F1AD6"/>
    <w:rsid w:val="003F1B90"/>
    <w:rsid w:val="003F1D18"/>
    <w:rsid w:val="003F20CE"/>
    <w:rsid w:val="003F211F"/>
    <w:rsid w:val="003F21AE"/>
    <w:rsid w:val="003F46AF"/>
    <w:rsid w:val="003F5B4A"/>
    <w:rsid w:val="003F5BD2"/>
    <w:rsid w:val="003F5F04"/>
    <w:rsid w:val="003F6287"/>
    <w:rsid w:val="003F6D17"/>
    <w:rsid w:val="003F6DD2"/>
    <w:rsid w:val="003F6E0E"/>
    <w:rsid w:val="004000E3"/>
    <w:rsid w:val="0040042E"/>
    <w:rsid w:val="0040067B"/>
    <w:rsid w:val="00400A7C"/>
    <w:rsid w:val="0040217D"/>
    <w:rsid w:val="0040239A"/>
    <w:rsid w:val="00402695"/>
    <w:rsid w:val="004026ED"/>
    <w:rsid w:val="004027E7"/>
    <w:rsid w:val="0040280F"/>
    <w:rsid w:val="00402C8A"/>
    <w:rsid w:val="004031F2"/>
    <w:rsid w:val="0040324E"/>
    <w:rsid w:val="00403598"/>
    <w:rsid w:val="00403C75"/>
    <w:rsid w:val="0040416E"/>
    <w:rsid w:val="00404DC1"/>
    <w:rsid w:val="00405F72"/>
    <w:rsid w:val="00406226"/>
    <w:rsid w:val="004066EC"/>
    <w:rsid w:val="0041004E"/>
    <w:rsid w:val="00410250"/>
    <w:rsid w:val="00410CC6"/>
    <w:rsid w:val="00411983"/>
    <w:rsid w:val="00411C16"/>
    <w:rsid w:val="00411CAD"/>
    <w:rsid w:val="00411EEC"/>
    <w:rsid w:val="00411EF3"/>
    <w:rsid w:val="00412FEE"/>
    <w:rsid w:val="0041351D"/>
    <w:rsid w:val="0041359A"/>
    <w:rsid w:val="00413775"/>
    <w:rsid w:val="00413A1D"/>
    <w:rsid w:val="00413A79"/>
    <w:rsid w:val="00413D05"/>
    <w:rsid w:val="00413E01"/>
    <w:rsid w:val="004143E1"/>
    <w:rsid w:val="00415A6C"/>
    <w:rsid w:val="00415B03"/>
    <w:rsid w:val="00415C10"/>
    <w:rsid w:val="00416456"/>
    <w:rsid w:val="0041696D"/>
    <w:rsid w:val="00416D63"/>
    <w:rsid w:val="00416EAB"/>
    <w:rsid w:val="00416F77"/>
    <w:rsid w:val="004177AC"/>
    <w:rsid w:val="00417C91"/>
    <w:rsid w:val="00420BB4"/>
    <w:rsid w:val="00421059"/>
    <w:rsid w:val="00421358"/>
    <w:rsid w:val="00422909"/>
    <w:rsid w:val="00423086"/>
    <w:rsid w:val="0042361B"/>
    <w:rsid w:val="00423BEC"/>
    <w:rsid w:val="004242FC"/>
    <w:rsid w:val="00424993"/>
    <w:rsid w:val="00424BCD"/>
    <w:rsid w:val="00424BEF"/>
    <w:rsid w:val="00425BD1"/>
    <w:rsid w:val="0042602D"/>
    <w:rsid w:val="004261A2"/>
    <w:rsid w:val="004269AC"/>
    <w:rsid w:val="004269D1"/>
    <w:rsid w:val="00426AA0"/>
    <w:rsid w:val="0042770F"/>
    <w:rsid w:val="00427AFE"/>
    <w:rsid w:val="00431320"/>
    <w:rsid w:val="00431C7D"/>
    <w:rsid w:val="004333F1"/>
    <w:rsid w:val="00434287"/>
    <w:rsid w:val="004347FB"/>
    <w:rsid w:val="00434E7E"/>
    <w:rsid w:val="004351F3"/>
    <w:rsid w:val="0043688E"/>
    <w:rsid w:val="004370C7"/>
    <w:rsid w:val="00437322"/>
    <w:rsid w:val="00437801"/>
    <w:rsid w:val="004379AB"/>
    <w:rsid w:val="00437C58"/>
    <w:rsid w:val="00437F1C"/>
    <w:rsid w:val="004404DA"/>
    <w:rsid w:val="00441403"/>
    <w:rsid w:val="00441CB1"/>
    <w:rsid w:val="00442390"/>
    <w:rsid w:val="00442E70"/>
    <w:rsid w:val="00443537"/>
    <w:rsid w:val="00444034"/>
    <w:rsid w:val="00444BCD"/>
    <w:rsid w:val="00445632"/>
    <w:rsid w:val="00447351"/>
    <w:rsid w:val="004501E0"/>
    <w:rsid w:val="004503AD"/>
    <w:rsid w:val="004503CF"/>
    <w:rsid w:val="00451543"/>
    <w:rsid w:val="00451569"/>
    <w:rsid w:val="004519E6"/>
    <w:rsid w:val="00451AB7"/>
    <w:rsid w:val="00452A97"/>
    <w:rsid w:val="00455197"/>
    <w:rsid w:val="00456ADC"/>
    <w:rsid w:val="00456BA5"/>
    <w:rsid w:val="004578DF"/>
    <w:rsid w:val="00457FBE"/>
    <w:rsid w:val="004600B5"/>
    <w:rsid w:val="00460D03"/>
    <w:rsid w:val="00461ABA"/>
    <w:rsid w:val="00461EE7"/>
    <w:rsid w:val="0046249B"/>
    <w:rsid w:val="00462D59"/>
    <w:rsid w:val="00462EBD"/>
    <w:rsid w:val="00462F94"/>
    <w:rsid w:val="0046312D"/>
    <w:rsid w:val="0046316F"/>
    <w:rsid w:val="0046334A"/>
    <w:rsid w:val="0046379D"/>
    <w:rsid w:val="00463D15"/>
    <w:rsid w:val="00464A92"/>
    <w:rsid w:val="00465868"/>
    <w:rsid w:val="00466EE2"/>
    <w:rsid w:val="00467215"/>
    <w:rsid w:val="00467DCF"/>
    <w:rsid w:val="004708E3"/>
    <w:rsid w:val="004712E1"/>
    <w:rsid w:val="004714BD"/>
    <w:rsid w:val="00471C66"/>
    <w:rsid w:val="00472399"/>
    <w:rsid w:val="0047264B"/>
    <w:rsid w:val="00472668"/>
    <w:rsid w:val="00472E8E"/>
    <w:rsid w:val="00473022"/>
    <w:rsid w:val="00473287"/>
    <w:rsid w:val="004737FF"/>
    <w:rsid w:val="00474012"/>
    <w:rsid w:val="00474FF4"/>
    <w:rsid w:val="00475054"/>
    <w:rsid w:val="004759F3"/>
    <w:rsid w:val="00475F6B"/>
    <w:rsid w:val="0047670B"/>
    <w:rsid w:val="00477459"/>
    <w:rsid w:val="004800E1"/>
    <w:rsid w:val="004804DC"/>
    <w:rsid w:val="00482D0C"/>
    <w:rsid w:val="0048366D"/>
    <w:rsid w:val="004837D9"/>
    <w:rsid w:val="00485C7B"/>
    <w:rsid w:val="00486195"/>
    <w:rsid w:val="0048636B"/>
    <w:rsid w:val="004871F2"/>
    <w:rsid w:val="00487374"/>
    <w:rsid w:val="00487434"/>
    <w:rsid w:val="0048780D"/>
    <w:rsid w:val="00487B85"/>
    <w:rsid w:val="00487C1B"/>
    <w:rsid w:val="00490B0B"/>
    <w:rsid w:val="00491762"/>
    <w:rsid w:val="00491F05"/>
    <w:rsid w:val="00492912"/>
    <w:rsid w:val="00492A7F"/>
    <w:rsid w:val="00493D09"/>
    <w:rsid w:val="00493E00"/>
    <w:rsid w:val="004946E9"/>
    <w:rsid w:val="00494DBD"/>
    <w:rsid w:val="00495011"/>
    <w:rsid w:val="004954C2"/>
    <w:rsid w:val="00495935"/>
    <w:rsid w:val="00496094"/>
    <w:rsid w:val="004963CF"/>
    <w:rsid w:val="00496E5E"/>
    <w:rsid w:val="00497091"/>
    <w:rsid w:val="00497500"/>
    <w:rsid w:val="004978D5"/>
    <w:rsid w:val="0049794C"/>
    <w:rsid w:val="004A0B76"/>
    <w:rsid w:val="004A0EC7"/>
    <w:rsid w:val="004A1476"/>
    <w:rsid w:val="004A1A8C"/>
    <w:rsid w:val="004A1B9E"/>
    <w:rsid w:val="004A1C23"/>
    <w:rsid w:val="004A27AA"/>
    <w:rsid w:val="004A27AF"/>
    <w:rsid w:val="004A32F3"/>
    <w:rsid w:val="004A3397"/>
    <w:rsid w:val="004A3724"/>
    <w:rsid w:val="004A4142"/>
    <w:rsid w:val="004A473D"/>
    <w:rsid w:val="004A4DF8"/>
    <w:rsid w:val="004A54B6"/>
    <w:rsid w:val="004A59A7"/>
    <w:rsid w:val="004A5D27"/>
    <w:rsid w:val="004A5F9C"/>
    <w:rsid w:val="004A6C04"/>
    <w:rsid w:val="004A79B4"/>
    <w:rsid w:val="004A7F1D"/>
    <w:rsid w:val="004B0147"/>
    <w:rsid w:val="004B0247"/>
    <w:rsid w:val="004B0F75"/>
    <w:rsid w:val="004B1421"/>
    <w:rsid w:val="004B144E"/>
    <w:rsid w:val="004B16C8"/>
    <w:rsid w:val="004B22F2"/>
    <w:rsid w:val="004B28DD"/>
    <w:rsid w:val="004B3615"/>
    <w:rsid w:val="004B3EB0"/>
    <w:rsid w:val="004B4493"/>
    <w:rsid w:val="004B4989"/>
    <w:rsid w:val="004B4AE0"/>
    <w:rsid w:val="004B4B25"/>
    <w:rsid w:val="004B4C03"/>
    <w:rsid w:val="004B571C"/>
    <w:rsid w:val="004B65A1"/>
    <w:rsid w:val="004B7563"/>
    <w:rsid w:val="004B7E5E"/>
    <w:rsid w:val="004B7F2F"/>
    <w:rsid w:val="004C04C1"/>
    <w:rsid w:val="004C0B9C"/>
    <w:rsid w:val="004C0C6A"/>
    <w:rsid w:val="004C0EEB"/>
    <w:rsid w:val="004C1D5F"/>
    <w:rsid w:val="004C2756"/>
    <w:rsid w:val="004C2774"/>
    <w:rsid w:val="004C2877"/>
    <w:rsid w:val="004C2BA8"/>
    <w:rsid w:val="004C5504"/>
    <w:rsid w:val="004C57CB"/>
    <w:rsid w:val="004C5FF8"/>
    <w:rsid w:val="004C6675"/>
    <w:rsid w:val="004C7276"/>
    <w:rsid w:val="004C7290"/>
    <w:rsid w:val="004C72EE"/>
    <w:rsid w:val="004C7B55"/>
    <w:rsid w:val="004D0072"/>
    <w:rsid w:val="004D0A28"/>
    <w:rsid w:val="004D104F"/>
    <w:rsid w:val="004D1660"/>
    <w:rsid w:val="004D1990"/>
    <w:rsid w:val="004D19B0"/>
    <w:rsid w:val="004D1BB0"/>
    <w:rsid w:val="004D1D8A"/>
    <w:rsid w:val="004D2433"/>
    <w:rsid w:val="004D2655"/>
    <w:rsid w:val="004D325C"/>
    <w:rsid w:val="004D36D4"/>
    <w:rsid w:val="004D39D5"/>
    <w:rsid w:val="004D3B93"/>
    <w:rsid w:val="004D47C6"/>
    <w:rsid w:val="004D4CDD"/>
    <w:rsid w:val="004D4F98"/>
    <w:rsid w:val="004D5361"/>
    <w:rsid w:val="004D6216"/>
    <w:rsid w:val="004D63F1"/>
    <w:rsid w:val="004D6B46"/>
    <w:rsid w:val="004D705D"/>
    <w:rsid w:val="004D729F"/>
    <w:rsid w:val="004D7569"/>
    <w:rsid w:val="004E01C0"/>
    <w:rsid w:val="004E0688"/>
    <w:rsid w:val="004E14E7"/>
    <w:rsid w:val="004E188A"/>
    <w:rsid w:val="004E1913"/>
    <w:rsid w:val="004E1B37"/>
    <w:rsid w:val="004E1D96"/>
    <w:rsid w:val="004E20D1"/>
    <w:rsid w:val="004E270E"/>
    <w:rsid w:val="004E29E7"/>
    <w:rsid w:val="004E33C4"/>
    <w:rsid w:val="004E37C3"/>
    <w:rsid w:val="004E5593"/>
    <w:rsid w:val="004E5B86"/>
    <w:rsid w:val="004E7167"/>
    <w:rsid w:val="004E7BB5"/>
    <w:rsid w:val="004F075A"/>
    <w:rsid w:val="004F10B4"/>
    <w:rsid w:val="004F1124"/>
    <w:rsid w:val="004F21F2"/>
    <w:rsid w:val="004F2376"/>
    <w:rsid w:val="004F2CC7"/>
    <w:rsid w:val="004F3897"/>
    <w:rsid w:val="004F56C8"/>
    <w:rsid w:val="004F6006"/>
    <w:rsid w:val="004F6291"/>
    <w:rsid w:val="004F642E"/>
    <w:rsid w:val="004F679C"/>
    <w:rsid w:val="004F67DB"/>
    <w:rsid w:val="004F6CE6"/>
    <w:rsid w:val="004F7234"/>
    <w:rsid w:val="004F7C28"/>
    <w:rsid w:val="004F7F2E"/>
    <w:rsid w:val="00501986"/>
    <w:rsid w:val="00501A1D"/>
    <w:rsid w:val="00501BAC"/>
    <w:rsid w:val="00501DE7"/>
    <w:rsid w:val="00501F67"/>
    <w:rsid w:val="00502542"/>
    <w:rsid w:val="00502800"/>
    <w:rsid w:val="00502821"/>
    <w:rsid w:val="00502B6F"/>
    <w:rsid w:val="00502B98"/>
    <w:rsid w:val="00504091"/>
    <w:rsid w:val="00504184"/>
    <w:rsid w:val="00504602"/>
    <w:rsid w:val="0050520F"/>
    <w:rsid w:val="00506B93"/>
    <w:rsid w:val="005073CC"/>
    <w:rsid w:val="00510045"/>
    <w:rsid w:val="00510EF7"/>
    <w:rsid w:val="00511212"/>
    <w:rsid w:val="005116CA"/>
    <w:rsid w:val="005122AD"/>
    <w:rsid w:val="005123F6"/>
    <w:rsid w:val="00512807"/>
    <w:rsid w:val="00512CBB"/>
    <w:rsid w:val="00512E4A"/>
    <w:rsid w:val="0051419F"/>
    <w:rsid w:val="005146EF"/>
    <w:rsid w:val="005147E5"/>
    <w:rsid w:val="00515099"/>
    <w:rsid w:val="00515B60"/>
    <w:rsid w:val="00520A00"/>
    <w:rsid w:val="005223CE"/>
    <w:rsid w:val="005229FA"/>
    <w:rsid w:val="00523FE0"/>
    <w:rsid w:val="00523FEB"/>
    <w:rsid w:val="005245B2"/>
    <w:rsid w:val="005245DD"/>
    <w:rsid w:val="00524AC1"/>
    <w:rsid w:val="00525200"/>
    <w:rsid w:val="0052550E"/>
    <w:rsid w:val="00526779"/>
    <w:rsid w:val="00526C66"/>
    <w:rsid w:val="00526EB3"/>
    <w:rsid w:val="005271D5"/>
    <w:rsid w:val="0052752A"/>
    <w:rsid w:val="0052758C"/>
    <w:rsid w:val="005277B5"/>
    <w:rsid w:val="00530130"/>
    <w:rsid w:val="005302CF"/>
    <w:rsid w:val="00530676"/>
    <w:rsid w:val="00530F66"/>
    <w:rsid w:val="00532A26"/>
    <w:rsid w:val="00532B2F"/>
    <w:rsid w:val="0053311E"/>
    <w:rsid w:val="00533B1A"/>
    <w:rsid w:val="00533D28"/>
    <w:rsid w:val="00533E08"/>
    <w:rsid w:val="005340A1"/>
    <w:rsid w:val="00534215"/>
    <w:rsid w:val="005348EA"/>
    <w:rsid w:val="0053494D"/>
    <w:rsid w:val="00534F81"/>
    <w:rsid w:val="005353F0"/>
    <w:rsid w:val="0053568B"/>
    <w:rsid w:val="005358CD"/>
    <w:rsid w:val="00535C86"/>
    <w:rsid w:val="00536CA0"/>
    <w:rsid w:val="00536E29"/>
    <w:rsid w:val="00536F01"/>
    <w:rsid w:val="00536FE8"/>
    <w:rsid w:val="00537364"/>
    <w:rsid w:val="00537589"/>
    <w:rsid w:val="00537BAC"/>
    <w:rsid w:val="00537D0A"/>
    <w:rsid w:val="00537DBD"/>
    <w:rsid w:val="005401FC"/>
    <w:rsid w:val="00540367"/>
    <w:rsid w:val="00540C34"/>
    <w:rsid w:val="00541D9F"/>
    <w:rsid w:val="00542E17"/>
    <w:rsid w:val="005433C7"/>
    <w:rsid w:val="00543678"/>
    <w:rsid w:val="005436C0"/>
    <w:rsid w:val="0054479B"/>
    <w:rsid w:val="005450E6"/>
    <w:rsid w:val="00545B2C"/>
    <w:rsid w:val="00545BE6"/>
    <w:rsid w:val="0054660D"/>
    <w:rsid w:val="00546620"/>
    <w:rsid w:val="00546C90"/>
    <w:rsid w:val="005473AB"/>
    <w:rsid w:val="00547991"/>
    <w:rsid w:val="00547C5E"/>
    <w:rsid w:val="005503C6"/>
    <w:rsid w:val="00550B4B"/>
    <w:rsid w:val="00550F39"/>
    <w:rsid w:val="00551063"/>
    <w:rsid w:val="00553888"/>
    <w:rsid w:val="00553E22"/>
    <w:rsid w:val="00554136"/>
    <w:rsid w:val="005545A0"/>
    <w:rsid w:val="00554A9B"/>
    <w:rsid w:val="00554FAB"/>
    <w:rsid w:val="00555047"/>
    <w:rsid w:val="00555144"/>
    <w:rsid w:val="00555F21"/>
    <w:rsid w:val="00556985"/>
    <w:rsid w:val="0055741B"/>
    <w:rsid w:val="005605AC"/>
    <w:rsid w:val="00560B21"/>
    <w:rsid w:val="0056196E"/>
    <w:rsid w:val="00561E00"/>
    <w:rsid w:val="00561E69"/>
    <w:rsid w:val="00562B74"/>
    <w:rsid w:val="00562D91"/>
    <w:rsid w:val="0056388D"/>
    <w:rsid w:val="00564DDD"/>
    <w:rsid w:val="00564E1B"/>
    <w:rsid w:val="00564E7D"/>
    <w:rsid w:val="0056534B"/>
    <w:rsid w:val="00565630"/>
    <w:rsid w:val="00566595"/>
    <w:rsid w:val="005666B3"/>
    <w:rsid w:val="0056725B"/>
    <w:rsid w:val="005672A9"/>
    <w:rsid w:val="005672AB"/>
    <w:rsid w:val="00567944"/>
    <w:rsid w:val="005705C5"/>
    <w:rsid w:val="005714A2"/>
    <w:rsid w:val="005719F0"/>
    <w:rsid w:val="005722A4"/>
    <w:rsid w:val="00572BD4"/>
    <w:rsid w:val="005730F2"/>
    <w:rsid w:val="00573505"/>
    <w:rsid w:val="0057367D"/>
    <w:rsid w:val="00573A8C"/>
    <w:rsid w:val="00573BD8"/>
    <w:rsid w:val="00574708"/>
    <w:rsid w:val="005750DD"/>
    <w:rsid w:val="005755B0"/>
    <w:rsid w:val="00575EE6"/>
    <w:rsid w:val="00577B41"/>
    <w:rsid w:val="00580F03"/>
    <w:rsid w:val="00581CFD"/>
    <w:rsid w:val="00582385"/>
    <w:rsid w:val="00582BE0"/>
    <w:rsid w:val="0058430D"/>
    <w:rsid w:val="0058451C"/>
    <w:rsid w:val="0058586C"/>
    <w:rsid w:val="00586CDC"/>
    <w:rsid w:val="0058731E"/>
    <w:rsid w:val="005873A0"/>
    <w:rsid w:val="00590AFF"/>
    <w:rsid w:val="00593911"/>
    <w:rsid w:val="00593925"/>
    <w:rsid w:val="00593EE0"/>
    <w:rsid w:val="00594232"/>
    <w:rsid w:val="005942F1"/>
    <w:rsid w:val="00594D31"/>
    <w:rsid w:val="00594E17"/>
    <w:rsid w:val="005952D6"/>
    <w:rsid w:val="00595E11"/>
    <w:rsid w:val="00595FAD"/>
    <w:rsid w:val="005960AF"/>
    <w:rsid w:val="0059616F"/>
    <w:rsid w:val="0059619E"/>
    <w:rsid w:val="0059635E"/>
    <w:rsid w:val="00596EAD"/>
    <w:rsid w:val="00597302"/>
    <w:rsid w:val="00597536"/>
    <w:rsid w:val="00597948"/>
    <w:rsid w:val="005A0091"/>
    <w:rsid w:val="005A04C5"/>
    <w:rsid w:val="005A0FCE"/>
    <w:rsid w:val="005A2813"/>
    <w:rsid w:val="005A321A"/>
    <w:rsid w:val="005A38ED"/>
    <w:rsid w:val="005A3DBE"/>
    <w:rsid w:val="005A4459"/>
    <w:rsid w:val="005A44E2"/>
    <w:rsid w:val="005A5051"/>
    <w:rsid w:val="005A5627"/>
    <w:rsid w:val="005A58AB"/>
    <w:rsid w:val="005A6188"/>
    <w:rsid w:val="005A6D5E"/>
    <w:rsid w:val="005A7156"/>
    <w:rsid w:val="005A7920"/>
    <w:rsid w:val="005B0682"/>
    <w:rsid w:val="005B0BB7"/>
    <w:rsid w:val="005B0C53"/>
    <w:rsid w:val="005B105F"/>
    <w:rsid w:val="005B13D9"/>
    <w:rsid w:val="005B1EE7"/>
    <w:rsid w:val="005B27BF"/>
    <w:rsid w:val="005B2B4C"/>
    <w:rsid w:val="005B3B24"/>
    <w:rsid w:val="005B3D9B"/>
    <w:rsid w:val="005B472D"/>
    <w:rsid w:val="005B48C6"/>
    <w:rsid w:val="005B49BA"/>
    <w:rsid w:val="005B6716"/>
    <w:rsid w:val="005B699B"/>
    <w:rsid w:val="005B746B"/>
    <w:rsid w:val="005B7585"/>
    <w:rsid w:val="005C2125"/>
    <w:rsid w:val="005C243A"/>
    <w:rsid w:val="005C24FB"/>
    <w:rsid w:val="005C2D21"/>
    <w:rsid w:val="005C40F0"/>
    <w:rsid w:val="005C48AC"/>
    <w:rsid w:val="005C4C49"/>
    <w:rsid w:val="005C5A15"/>
    <w:rsid w:val="005C61CF"/>
    <w:rsid w:val="005C6F61"/>
    <w:rsid w:val="005C716C"/>
    <w:rsid w:val="005C7A7C"/>
    <w:rsid w:val="005D07D7"/>
    <w:rsid w:val="005D0AD3"/>
    <w:rsid w:val="005D0DCA"/>
    <w:rsid w:val="005D0E25"/>
    <w:rsid w:val="005D1104"/>
    <w:rsid w:val="005D2886"/>
    <w:rsid w:val="005D2E99"/>
    <w:rsid w:val="005D2E9C"/>
    <w:rsid w:val="005D32E6"/>
    <w:rsid w:val="005D3585"/>
    <w:rsid w:val="005D364B"/>
    <w:rsid w:val="005D3AC9"/>
    <w:rsid w:val="005D479B"/>
    <w:rsid w:val="005D4EF6"/>
    <w:rsid w:val="005D51BC"/>
    <w:rsid w:val="005D573A"/>
    <w:rsid w:val="005D585D"/>
    <w:rsid w:val="005D5A0A"/>
    <w:rsid w:val="005D5E18"/>
    <w:rsid w:val="005D5FF5"/>
    <w:rsid w:val="005D60D6"/>
    <w:rsid w:val="005D6225"/>
    <w:rsid w:val="005D6969"/>
    <w:rsid w:val="005D6E9F"/>
    <w:rsid w:val="005D714D"/>
    <w:rsid w:val="005D74C9"/>
    <w:rsid w:val="005D77F1"/>
    <w:rsid w:val="005D7B47"/>
    <w:rsid w:val="005D7F74"/>
    <w:rsid w:val="005E0955"/>
    <w:rsid w:val="005E0EAC"/>
    <w:rsid w:val="005E1325"/>
    <w:rsid w:val="005E13CB"/>
    <w:rsid w:val="005E166A"/>
    <w:rsid w:val="005E1E7E"/>
    <w:rsid w:val="005E255E"/>
    <w:rsid w:val="005E26F2"/>
    <w:rsid w:val="005E3585"/>
    <w:rsid w:val="005E3903"/>
    <w:rsid w:val="005E490E"/>
    <w:rsid w:val="005E535E"/>
    <w:rsid w:val="005E5661"/>
    <w:rsid w:val="005E604E"/>
    <w:rsid w:val="005E60CE"/>
    <w:rsid w:val="005E6940"/>
    <w:rsid w:val="005E6D93"/>
    <w:rsid w:val="005E6F2C"/>
    <w:rsid w:val="005E7222"/>
    <w:rsid w:val="005E7653"/>
    <w:rsid w:val="005E792A"/>
    <w:rsid w:val="005F04B3"/>
    <w:rsid w:val="005F0FEA"/>
    <w:rsid w:val="005F1A3C"/>
    <w:rsid w:val="005F1C04"/>
    <w:rsid w:val="005F1D15"/>
    <w:rsid w:val="005F205F"/>
    <w:rsid w:val="005F22A9"/>
    <w:rsid w:val="005F2801"/>
    <w:rsid w:val="005F284F"/>
    <w:rsid w:val="005F3037"/>
    <w:rsid w:val="005F34FC"/>
    <w:rsid w:val="005F3612"/>
    <w:rsid w:val="005F3D38"/>
    <w:rsid w:val="005F48FB"/>
    <w:rsid w:val="005F5658"/>
    <w:rsid w:val="005F5ECC"/>
    <w:rsid w:val="005F66E1"/>
    <w:rsid w:val="005F6AFD"/>
    <w:rsid w:val="005F6D53"/>
    <w:rsid w:val="005F70E8"/>
    <w:rsid w:val="005F7459"/>
    <w:rsid w:val="005F7869"/>
    <w:rsid w:val="005F7D2B"/>
    <w:rsid w:val="006013AA"/>
    <w:rsid w:val="006016AD"/>
    <w:rsid w:val="006018CE"/>
    <w:rsid w:val="00601E32"/>
    <w:rsid w:val="006020B6"/>
    <w:rsid w:val="00602424"/>
    <w:rsid w:val="006025E7"/>
    <w:rsid w:val="006027ED"/>
    <w:rsid w:val="00602E84"/>
    <w:rsid w:val="00602F0F"/>
    <w:rsid w:val="006036AB"/>
    <w:rsid w:val="00603EF3"/>
    <w:rsid w:val="00604C6E"/>
    <w:rsid w:val="00604DF7"/>
    <w:rsid w:val="00604F11"/>
    <w:rsid w:val="00605FD9"/>
    <w:rsid w:val="006060AC"/>
    <w:rsid w:val="0060649C"/>
    <w:rsid w:val="006066DD"/>
    <w:rsid w:val="00606703"/>
    <w:rsid w:val="00607377"/>
    <w:rsid w:val="00607CDE"/>
    <w:rsid w:val="00607D20"/>
    <w:rsid w:val="006100D0"/>
    <w:rsid w:val="00610E55"/>
    <w:rsid w:val="00611A78"/>
    <w:rsid w:val="00611F6D"/>
    <w:rsid w:val="00611FAE"/>
    <w:rsid w:val="00613086"/>
    <w:rsid w:val="006133AA"/>
    <w:rsid w:val="006136EC"/>
    <w:rsid w:val="00613930"/>
    <w:rsid w:val="00613968"/>
    <w:rsid w:val="00613E29"/>
    <w:rsid w:val="00614C06"/>
    <w:rsid w:val="00614C12"/>
    <w:rsid w:val="00614DAF"/>
    <w:rsid w:val="00615E55"/>
    <w:rsid w:val="00616BA7"/>
    <w:rsid w:val="00616CCC"/>
    <w:rsid w:val="00616F17"/>
    <w:rsid w:val="006171B7"/>
    <w:rsid w:val="00617475"/>
    <w:rsid w:val="006176FD"/>
    <w:rsid w:val="006178D0"/>
    <w:rsid w:val="00617E48"/>
    <w:rsid w:val="006201D3"/>
    <w:rsid w:val="00620642"/>
    <w:rsid w:val="00620F97"/>
    <w:rsid w:val="00621521"/>
    <w:rsid w:val="00621BCF"/>
    <w:rsid w:val="006222B6"/>
    <w:rsid w:val="006226EE"/>
    <w:rsid w:val="0062302C"/>
    <w:rsid w:val="00623302"/>
    <w:rsid w:val="006237E4"/>
    <w:rsid w:val="00623F12"/>
    <w:rsid w:val="00624280"/>
    <w:rsid w:val="00624D17"/>
    <w:rsid w:val="00624D3B"/>
    <w:rsid w:val="0062598B"/>
    <w:rsid w:val="00625B4B"/>
    <w:rsid w:val="006272DC"/>
    <w:rsid w:val="006276AD"/>
    <w:rsid w:val="00627CBF"/>
    <w:rsid w:val="006305E4"/>
    <w:rsid w:val="00630F50"/>
    <w:rsid w:val="00631182"/>
    <w:rsid w:val="00631E9E"/>
    <w:rsid w:val="006320E5"/>
    <w:rsid w:val="00632161"/>
    <w:rsid w:val="00632503"/>
    <w:rsid w:val="0063387E"/>
    <w:rsid w:val="00633A23"/>
    <w:rsid w:val="00634CFE"/>
    <w:rsid w:val="00634FFE"/>
    <w:rsid w:val="00635037"/>
    <w:rsid w:val="00640ADB"/>
    <w:rsid w:val="0064131A"/>
    <w:rsid w:val="00641B52"/>
    <w:rsid w:val="00641DF4"/>
    <w:rsid w:val="0064243A"/>
    <w:rsid w:val="006426B7"/>
    <w:rsid w:val="00643984"/>
    <w:rsid w:val="00643994"/>
    <w:rsid w:val="0064445D"/>
    <w:rsid w:val="00644553"/>
    <w:rsid w:val="00644965"/>
    <w:rsid w:val="006453D4"/>
    <w:rsid w:val="00645459"/>
    <w:rsid w:val="006456E9"/>
    <w:rsid w:val="00645ABA"/>
    <w:rsid w:val="00646F57"/>
    <w:rsid w:val="00650F90"/>
    <w:rsid w:val="00651D39"/>
    <w:rsid w:val="0065226A"/>
    <w:rsid w:val="00653D05"/>
    <w:rsid w:val="00653F37"/>
    <w:rsid w:val="0065478A"/>
    <w:rsid w:val="00654B5C"/>
    <w:rsid w:val="006557CC"/>
    <w:rsid w:val="00655B26"/>
    <w:rsid w:val="00655CE5"/>
    <w:rsid w:val="006569ED"/>
    <w:rsid w:val="00656E42"/>
    <w:rsid w:val="00657080"/>
    <w:rsid w:val="006571EC"/>
    <w:rsid w:val="006576BF"/>
    <w:rsid w:val="00660085"/>
    <w:rsid w:val="006613BC"/>
    <w:rsid w:val="00661D9F"/>
    <w:rsid w:val="006632C3"/>
    <w:rsid w:val="006638D7"/>
    <w:rsid w:val="006638E4"/>
    <w:rsid w:val="00663E07"/>
    <w:rsid w:val="0066440B"/>
    <w:rsid w:val="006650F3"/>
    <w:rsid w:val="006652E9"/>
    <w:rsid w:val="00665409"/>
    <w:rsid w:val="00665818"/>
    <w:rsid w:val="006659D5"/>
    <w:rsid w:val="00666B29"/>
    <w:rsid w:val="00666FB1"/>
    <w:rsid w:val="00667591"/>
    <w:rsid w:val="00667763"/>
    <w:rsid w:val="00667C8B"/>
    <w:rsid w:val="00667DA2"/>
    <w:rsid w:val="00667F70"/>
    <w:rsid w:val="00670277"/>
    <w:rsid w:val="00670D17"/>
    <w:rsid w:val="0067181B"/>
    <w:rsid w:val="006718A6"/>
    <w:rsid w:val="00672C82"/>
    <w:rsid w:val="006733D5"/>
    <w:rsid w:val="006738CB"/>
    <w:rsid w:val="006738E2"/>
    <w:rsid w:val="006744CE"/>
    <w:rsid w:val="006746BA"/>
    <w:rsid w:val="006758E8"/>
    <w:rsid w:val="006761B4"/>
    <w:rsid w:val="006778D8"/>
    <w:rsid w:val="00677E09"/>
    <w:rsid w:val="00680D32"/>
    <w:rsid w:val="00681588"/>
    <w:rsid w:val="0068181D"/>
    <w:rsid w:val="00681A6F"/>
    <w:rsid w:val="00684E05"/>
    <w:rsid w:val="00685943"/>
    <w:rsid w:val="006866A7"/>
    <w:rsid w:val="006872F7"/>
    <w:rsid w:val="0068780C"/>
    <w:rsid w:val="00687B8B"/>
    <w:rsid w:val="00687E0F"/>
    <w:rsid w:val="00690079"/>
    <w:rsid w:val="00690139"/>
    <w:rsid w:val="006902C1"/>
    <w:rsid w:val="00690A4F"/>
    <w:rsid w:val="0069130B"/>
    <w:rsid w:val="006914C5"/>
    <w:rsid w:val="006923C8"/>
    <w:rsid w:val="00692402"/>
    <w:rsid w:val="00692584"/>
    <w:rsid w:val="00692637"/>
    <w:rsid w:val="00693E50"/>
    <w:rsid w:val="00693E7E"/>
    <w:rsid w:val="00694720"/>
    <w:rsid w:val="0069571D"/>
    <w:rsid w:val="00695792"/>
    <w:rsid w:val="00697278"/>
    <w:rsid w:val="0069745F"/>
    <w:rsid w:val="00697674"/>
    <w:rsid w:val="00697744"/>
    <w:rsid w:val="00697D76"/>
    <w:rsid w:val="00697F7A"/>
    <w:rsid w:val="006A01A7"/>
    <w:rsid w:val="006A03A8"/>
    <w:rsid w:val="006A1340"/>
    <w:rsid w:val="006A157C"/>
    <w:rsid w:val="006A20C0"/>
    <w:rsid w:val="006A245D"/>
    <w:rsid w:val="006A274B"/>
    <w:rsid w:val="006A307D"/>
    <w:rsid w:val="006A3B15"/>
    <w:rsid w:val="006A4122"/>
    <w:rsid w:val="006A5771"/>
    <w:rsid w:val="006A6ACB"/>
    <w:rsid w:val="006A6BBE"/>
    <w:rsid w:val="006A700D"/>
    <w:rsid w:val="006A711E"/>
    <w:rsid w:val="006A72E7"/>
    <w:rsid w:val="006B049F"/>
    <w:rsid w:val="006B0CC4"/>
    <w:rsid w:val="006B1469"/>
    <w:rsid w:val="006B171B"/>
    <w:rsid w:val="006B1A9D"/>
    <w:rsid w:val="006B228A"/>
    <w:rsid w:val="006B3772"/>
    <w:rsid w:val="006B4172"/>
    <w:rsid w:val="006B48EA"/>
    <w:rsid w:val="006B5D49"/>
    <w:rsid w:val="006B614A"/>
    <w:rsid w:val="006B6CAF"/>
    <w:rsid w:val="006B7AC8"/>
    <w:rsid w:val="006C03C8"/>
    <w:rsid w:val="006C19EE"/>
    <w:rsid w:val="006C27D4"/>
    <w:rsid w:val="006C2F90"/>
    <w:rsid w:val="006C3434"/>
    <w:rsid w:val="006C3579"/>
    <w:rsid w:val="006C3A97"/>
    <w:rsid w:val="006C4073"/>
    <w:rsid w:val="006C47D0"/>
    <w:rsid w:val="006C4EF1"/>
    <w:rsid w:val="006C526E"/>
    <w:rsid w:val="006C52D4"/>
    <w:rsid w:val="006C55DD"/>
    <w:rsid w:val="006C5F62"/>
    <w:rsid w:val="006C5FBE"/>
    <w:rsid w:val="006C6483"/>
    <w:rsid w:val="006D0577"/>
    <w:rsid w:val="006D05D2"/>
    <w:rsid w:val="006D1C55"/>
    <w:rsid w:val="006D236D"/>
    <w:rsid w:val="006D29C8"/>
    <w:rsid w:val="006D3DCA"/>
    <w:rsid w:val="006D44E9"/>
    <w:rsid w:val="006D4528"/>
    <w:rsid w:val="006D4BD7"/>
    <w:rsid w:val="006D6104"/>
    <w:rsid w:val="006D6433"/>
    <w:rsid w:val="006D7940"/>
    <w:rsid w:val="006D7FEB"/>
    <w:rsid w:val="006E06D5"/>
    <w:rsid w:val="006E0B39"/>
    <w:rsid w:val="006E1DFF"/>
    <w:rsid w:val="006E2A80"/>
    <w:rsid w:val="006E37BF"/>
    <w:rsid w:val="006E3FCD"/>
    <w:rsid w:val="006E4040"/>
    <w:rsid w:val="006E41CE"/>
    <w:rsid w:val="006E428A"/>
    <w:rsid w:val="006E4977"/>
    <w:rsid w:val="006E4B43"/>
    <w:rsid w:val="006E4B87"/>
    <w:rsid w:val="006E5A43"/>
    <w:rsid w:val="006E68C0"/>
    <w:rsid w:val="006E6EC9"/>
    <w:rsid w:val="006E77A4"/>
    <w:rsid w:val="006F0211"/>
    <w:rsid w:val="006F02E1"/>
    <w:rsid w:val="006F03C2"/>
    <w:rsid w:val="006F0581"/>
    <w:rsid w:val="006F07AC"/>
    <w:rsid w:val="006F0A13"/>
    <w:rsid w:val="006F0AEF"/>
    <w:rsid w:val="006F0BD4"/>
    <w:rsid w:val="006F14FA"/>
    <w:rsid w:val="006F29B5"/>
    <w:rsid w:val="006F3ED7"/>
    <w:rsid w:val="006F3FE2"/>
    <w:rsid w:val="006F41D8"/>
    <w:rsid w:val="006F4CB0"/>
    <w:rsid w:val="006F4ED0"/>
    <w:rsid w:val="006F5054"/>
    <w:rsid w:val="006F54DE"/>
    <w:rsid w:val="006F55E3"/>
    <w:rsid w:val="006F5836"/>
    <w:rsid w:val="006F5CF6"/>
    <w:rsid w:val="006F5D10"/>
    <w:rsid w:val="006F67BD"/>
    <w:rsid w:val="006F68B3"/>
    <w:rsid w:val="006F6F6F"/>
    <w:rsid w:val="006F73E1"/>
    <w:rsid w:val="006F786E"/>
    <w:rsid w:val="0070033F"/>
    <w:rsid w:val="00700AA6"/>
    <w:rsid w:val="00700C01"/>
    <w:rsid w:val="00700E65"/>
    <w:rsid w:val="00700ED6"/>
    <w:rsid w:val="00701013"/>
    <w:rsid w:val="00701172"/>
    <w:rsid w:val="007011CD"/>
    <w:rsid w:val="00701D67"/>
    <w:rsid w:val="00702488"/>
    <w:rsid w:val="00702B5E"/>
    <w:rsid w:val="00702BB2"/>
    <w:rsid w:val="00703064"/>
    <w:rsid w:val="0070313E"/>
    <w:rsid w:val="007039BB"/>
    <w:rsid w:val="00703CAA"/>
    <w:rsid w:val="00703FB6"/>
    <w:rsid w:val="0070487B"/>
    <w:rsid w:val="00705457"/>
    <w:rsid w:val="0070672E"/>
    <w:rsid w:val="00706969"/>
    <w:rsid w:val="00706AD7"/>
    <w:rsid w:val="007071F7"/>
    <w:rsid w:val="00710713"/>
    <w:rsid w:val="00711021"/>
    <w:rsid w:val="00711277"/>
    <w:rsid w:val="00711A02"/>
    <w:rsid w:val="00711B21"/>
    <w:rsid w:val="007125A2"/>
    <w:rsid w:val="0071291B"/>
    <w:rsid w:val="00713C0C"/>
    <w:rsid w:val="00713DB4"/>
    <w:rsid w:val="00713F26"/>
    <w:rsid w:val="0071420A"/>
    <w:rsid w:val="00714853"/>
    <w:rsid w:val="007153FD"/>
    <w:rsid w:val="00716556"/>
    <w:rsid w:val="00716A85"/>
    <w:rsid w:val="00720076"/>
    <w:rsid w:val="00720312"/>
    <w:rsid w:val="00720493"/>
    <w:rsid w:val="00720BB0"/>
    <w:rsid w:val="0072136B"/>
    <w:rsid w:val="00722B7E"/>
    <w:rsid w:val="00722BD4"/>
    <w:rsid w:val="00722FAF"/>
    <w:rsid w:val="007236A0"/>
    <w:rsid w:val="00723904"/>
    <w:rsid w:val="00723C21"/>
    <w:rsid w:val="00724A22"/>
    <w:rsid w:val="0072532D"/>
    <w:rsid w:val="00725B6C"/>
    <w:rsid w:val="007262E5"/>
    <w:rsid w:val="00726B30"/>
    <w:rsid w:val="00727721"/>
    <w:rsid w:val="00730EE0"/>
    <w:rsid w:val="00731940"/>
    <w:rsid w:val="00731A7B"/>
    <w:rsid w:val="007327A3"/>
    <w:rsid w:val="00732858"/>
    <w:rsid w:val="0073307C"/>
    <w:rsid w:val="0073323B"/>
    <w:rsid w:val="007342C0"/>
    <w:rsid w:val="007348B7"/>
    <w:rsid w:val="00735A57"/>
    <w:rsid w:val="00735DE2"/>
    <w:rsid w:val="0073602A"/>
    <w:rsid w:val="007372B0"/>
    <w:rsid w:val="00737B1C"/>
    <w:rsid w:val="00737CF4"/>
    <w:rsid w:val="00740202"/>
    <w:rsid w:val="00740BF7"/>
    <w:rsid w:val="00740CA2"/>
    <w:rsid w:val="00740F83"/>
    <w:rsid w:val="00741296"/>
    <w:rsid w:val="007414D9"/>
    <w:rsid w:val="0074168D"/>
    <w:rsid w:val="00742373"/>
    <w:rsid w:val="0074303A"/>
    <w:rsid w:val="0074331E"/>
    <w:rsid w:val="00743760"/>
    <w:rsid w:val="0074379E"/>
    <w:rsid w:val="00743D49"/>
    <w:rsid w:val="00744621"/>
    <w:rsid w:val="00744EF3"/>
    <w:rsid w:val="00745C63"/>
    <w:rsid w:val="0074620C"/>
    <w:rsid w:val="0074649F"/>
    <w:rsid w:val="007472A8"/>
    <w:rsid w:val="00747705"/>
    <w:rsid w:val="00751172"/>
    <w:rsid w:val="00751BB3"/>
    <w:rsid w:val="0075293A"/>
    <w:rsid w:val="007533B7"/>
    <w:rsid w:val="0075346C"/>
    <w:rsid w:val="007535BE"/>
    <w:rsid w:val="00754361"/>
    <w:rsid w:val="007543A5"/>
    <w:rsid w:val="007547E8"/>
    <w:rsid w:val="007550AA"/>
    <w:rsid w:val="00755831"/>
    <w:rsid w:val="007558CE"/>
    <w:rsid w:val="00756414"/>
    <w:rsid w:val="0075702D"/>
    <w:rsid w:val="00757306"/>
    <w:rsid w:val="00761A3A"/>
    <w:rsid w:val="00761C66"/>
    <w:rsid w:val="007620D7"/>
    <w:rsid w:val="00762877"/>
    <w:rsid w:val="00763628"/>
    <w:rsid w:val="007646ED"/>
    <w:rsid w:val="0076526A"/>
    <w:rsid w:val="007665DA"/>
    <w:rsid w:val="00766ED2"/>
    <w:rsid w:val="007670F7"/>
    <w:rsid w:val="00767496"/>
    <w:rsid w:val="007677B5"/>
    <w:rsid w:val="00767FEF"/>
    <w:rsid w:val="007700AE"/>
    <w:rsid w:val="00771607"/>
    <w:rsid w:val="0077248A"/>
    <w:rsid w:val="00772C49"/>
    <w:rsid w:val="00773AAE"/>
    <w:rsid w:val="00773E2C"/>
    <w:rsid w:val="007743DE"/>
    <w:rsid w:val="007748BF"/>
    <w:rsid w:val="00775245"/>
    <w:rsid w:val="00775FF3"/>
    <w:rsid w:val="007768A2"/>
    <w:rsid w:val="00776CF7"/>
    <w:rsid w:val="0077782B"/>
    <w:rsid w:val="00780334"/>
    <w:rsid w:val="00781233"/>
    <w:rsid w:val="00781683"/>
    <w:rsid w:val="007828D2"/>
    <w:rsid w:val="00782E5D"/>
    <w:rsid w:val="007839EF"/>
    <w:rsid w:val="00783B1D"/>
    <w:rsid w:val="00783D04"/>
    <w:rsid w:val="007841E2"/>
    <w:rsid w:val="00784F95"/>
    <w:rsid w:val="00784FE0"/>
    <w:rsid w:val="0078520C"/>
    <w:rsid w:val="007854A6"/>
    <w:rsid w:val="00786581"/>
    <w:rsid w:val="00786B2D"/>
    <w:rsid w:val="00786E96"/>
    <w:rsid w:val="00787279"/>
    <w:rsid w:val="00787327"/>
    <w:rsid w:val="00787B42"/>
    <w:rsid w:val="007900C7"/>
    <w:rsid w:val="00791203"/>
    <w:rsid w:val="007923C0"/>
    <w:rsid w:val="007925ED"/>
    <w:rsid w:val="00792A53"/>
    <w:rsid w:val="0079360D"/>
    <w:rsid w:val="00793EF0"/>
    <w:rsid w:val="00794692"/>
    <w:rsid w:val="00794ADF"/>
    <w:rsid w:val="00794FD9"/>
    <w:rsid w:val="00795826"/>
    <w:rsid w:val="00795E5C"/>
    <w:rsid w:val="007964B1"/>
    <w:rsid w:val="00796F88"/>
    <w:rsid w:val="007970CD"/>
    <w:rsid w:val="00797C98"/>
    <w:rsid w:val="00797D5F"/>
    <w:rsid w:val="007A0192"/>
    <w:rsid w:val="007A0597"/>
    <w:rsid w:val="007A0608"/>
    <w:rsid w:val="007A0856"/>
    <w:rsid w:val="007A0B44"/>
    <w:rsid w:val="007A2627"/>
    <w:rsid w:val="007A2D37"/>
    <w:rsid w:val="007A3371"/>
    <w:rsid w:val="007A397F"/>
    <w:rsid w:val="007A4592"/>
    <w:rsid w:val="007A5C78"/>
    <w:rsid w:val="007A5E7A"/>
    <w:rsid w:val="007A664C"/>
    <w:rsid w:val="007A67AB"/>
    <w:rsid w:val="007A6A9D"/>
    <w:rsid w:val="007A7381"/>
    <w:rsid w:val="007A73A7"/>
    <w:rsid w:val="007A7999"/>
    <w:rsid w:val="007A7F8B"/>
    <w:rsid w:val="007B05AC"/>
    <w:rsid w:val="007B1915"/>
    <w:rsid w:val="007B2097"/>
    <w:rsid w:val="007B297D"/>
    <w:rsid w:val="007B34CE"/>
    <w:rsid w:val="007B361D"/>
    <w:rsid w:val="007B426B"/>
    <w:rsid w:val="007B4B30"/>
    <w:rsid w:val="007B51DC"/>
    <w:rsid w:val="007B594B"/>
    <w:rsid w:val="007B66F3"/>
    <w:rsid w:val="007B66FB"/>
    <w:rsid w:val="007B6BAB"/>
    <w:rsid w:val="007B6FB5"/>
    <w:rsid w:val="007B7158"/>
    <w:rsid w:val="007B77AB"/>
    <w:rsid w:val="007C037E"/>
    <w:rsid w:val="007C1B7E"/>
    <w:rsid w:val="007C3A25"/>
    <w:rsid w:val="007C3EE6"/>
    <w:rsid w:val="007C4E22"/>
    <w:rsid w:val="007C58E9"/>
    <w:rsid w:val="007C6303"/>
    <w:rsid w:val="007C6460"/>
    <w:rsid w:val="007C6548"/>
    <w:rsid w:val="007C6BCD"/>
    <w:rsid w:val="007C7A44"/>
    <w:rsid w:val="007C7C22"/>
    <w:rsid w:val="007D0851"/>
    <w:rsid w:val="007D0B35"/>
    <w:rsid w:val="007D13DF"/>
    <w:rsid w:val="007D1B2A"/>
    <w:rsid w:val="007D1BB2"/>
    <w:rsid w:val="007D224B"/>
    <w:rsid w:val="007D2400"/>
    <w:rsid w:val="007D2432"/>
    <w:rsid w:val="007D52E6"/>
    <w:rsid w:val="007D6895"/>
    <w:rsid w:val="007D7986"/>
    <w:rsid w:val="007D7F3F"/>
    <w:rsid w:val="007E0040"/>
    <w:rsid w:val="007E0123"/>
    <w:rsid w:val="007E05A7"/>
    <w:rsid w:val="007E094C"/>
    <w:rsid w:val="007E0A17"/>
    <w:rsid w:val="007E0BBD"/>
    <w:rsid w:val="007E0DE3"/>
    <w:rsid w:val="007E105E"/>
    <w:rsid w:val="007E1FEF"/>
    <w:rsid w:val="007E2CFC"/>
    <w:rsid w:val="007E2D22"/>
    <w:rsid w:val="007E393E"/>
    <w:rsid w:val="007E40BE"/>
    <w:rsid w:val="007E4528"/>
    <w:rsid w:val="007E4D0B"/>
    <w:rsid w:val="007E5731"/>
    <w:rsid w:val="007E5D61"/>
    <w:rsid w:val="007E6360"/>
    <w:rsid w:val="007E69E6"/>
    <w:rsid w:val="007E720E"/>
    <w:rsid w:val="007E736C"/>
    <w:rsid w:val="007E73B4"/>
    <w:rsid w:val="007E7442"/>
    <w:rsid w:val="007E765F"/>
    <w:rsid w:val="007F0212"/>
    <w:rsid w:val="007F06D8"/>
    <w:rsid w:val="007F0707"/>
    <w:rsid w:val="007F0940"/>
    <w:rsid w:val="007F0DB1"/>
    <w:rsid w:val="007F1DE7"/>
    <w:rsid w:val="007F20EC"/>
    <w:rsid w:val="007F21E2"/>
    <w:rsid w:val="007F2AC1"/>
    <w:rsid w:val="007F2B3C"/>
    <w:rsid w:val="007F3A44"/>
    <w:rsid w:val="007F41A1"/>
    <w:rsid w:val="007F4446"/>
    <w:rsid w:val="007F4571"/>
    <w:rsid w:val="007F519C"/>
    <w:rsid w:val="007F5767"/>
    <w:rsid w:val="007F5D56"/>
    <w:rsid w:val="007F79EB"/>
    <w:rsid w:val="007F7C6C"/>
    <w:rsid w:val="007F7E0F"/>
    <w:rsid w:val="00800102"/>
    <w:rsid w:val="00800196"/>
    <w:rsid w:val="00800A16"/>
    <w:rsid w:val="00800E7A"/>
    <w:rsid w:val="00801461"/>
    <w:rsid w:val="0080175C"/>
    <w:rsid w:val="00801A6E"/>
    <w:rsid w:val="00801C4C"/>
    <w:rsid w:val="008027F0"/>
    <w:rsid w:val="008033CE"/>
    <w:rsid w:val="00804257"/>
    <w:rsid w:val="0080473D"/>
    <w:rsid w:val="008047CC"/>
    <w:rsid w:val="00804BE3"/>
    <w:rsid w:val="00804C86"/>
    <w:rsid w:val="0080649A"/>
    <w:rsid w:val="00807927"/>
    <w:rsid w:val="008104E9"/>
    <w:rsid w:val="00810DF2"/>
    <w:rsid w:val="00813897"/>
    <w:rsid w:val="00813DD4"/>
    <w:rsid w:val="00814C92"/>
    <w:rsid w:val="00814CE5"/>
    <w:rsid w:val="008150FA"/>
    <w:rsid w:val="00815E57"/>
    <w:rsid w:val="00815FE1"/>
    <w:rsid w:val="008167A7"/>
    <w:rsid w:val="0081698D"/>
    <w:rsid w:val="00817666"/>
    <w:rsid w:val="00817951"/>
    <w:rsid w:val="008206E9"/>
    <w:rsid w:val="00820A44"/>
    <w:rsid w:val="00820E43"/>
    <w:rsid w:val="008215A1"/>
    <w:rsid w:val="00821970"/>
    <w:rsid w:val="00822797"/>
    <w:rsid w:val="00822871"/>
    <w:rsid w:val="00822B54"/>
    <w:rsid w:val="00822CA6"/>
    <w:rsid w:val="00822D82"/>
    <w:rsid w:val="008236D7"/>
    <w:rsid w:val="00824437"/>
    <w:rsid w:val="008255CE"/>
    <w:rsid w:val="00826446"/>
    <w:rsid w:val="008266CF"/>
    <w:rsid w:val="00826869"/>
    <w:rsid w:val="00826D0B"/>
    <w:rsid w:val="00827377"/>
    <w:rsid w:val="00827A9D"/>
    <w:rsid w:val="00830176"/>
    <w:rsid w:val="00830B4F"/>
    <w:rsid w:val="00832F1C"/>
    <w:rsid w:val="0083383A"/>
    <w:rsid w:val="00833E9A"/>
    <w:rsid w:val="008340E2"/>
    <w:rsid w:val="00834191"/>
    <w:rsid w:val="008357B2"/>
    <w:rsid w:val="00835A41"/>
    <w:rsid w:val="00835DDC"/>
    <w:rsid w:val="008363F9"/>
    <w:rsid w:val="00836DC2"/>
    <w:rsid w:val="00836E28"/>
    <w:rsid w:val="00836EA1"/>
    <w:rsid w:val="00837227"/>
    <w:rsid w:val="00837803"/>
    <w:rsid w:val="008400C2"/>
    <w:rsid w:val="00841833"/>
    <w:rsid w:val="00841848"/>
    <w:rsid w:val="00841AA8"/>
    <w:rsid w:val="00841AC4"/>
    <w:rsid w:val="00841FB0"/>
    <w:rsid w:val="00842E78"/>
    <w:rsid w:val="008430C8"/>
    <w:rsid w:val="00843F31"/>
    <w:rsid w:val="008442DD"/>
    <w:rsid w:val="00844394"/>
    <w:rsid w:val="00844D53"/>
    <w:rsid w:val="0084524F"/>
    <w:rsid w:val="00845C69"/>
    <w:rsid w:val="00845F85"/>
    <w:rsid w:val="00846514"/>
    <w:rsid w:val="008467C4"/>
    <w:rsid w:val="00846A73"/>
    <w:rsid w:val="00846B80"/>
    <w:rsid w:val="0085050B"/>
    <w:rsid w:val="00851557"/>
    <w:rsid w:val="00852361"/>
    <w:rsid w:val="0085377B"/>
    <w:rsid w:val="00854917"/>
    <w:rsid w:val="00854E4F"/>
    <w:rsid w:val="008554D2"/>
    <w:rsid w:val="00855745"/>
    <w:rsid w:val="008562F0"/>
    <w:rsid w:val="008566E9"/>
    <w:rsid w:val="00856950"/>
    <w:rsid w:val="00856B76"/>
    <w:rsid w:val="00856D48"/>
    <w:rsid w:val="00856D52"/>
    <w:rsid w:val="00857291"/>
    <w:rsid w:val="00857731"/>
    <w:rsid w:val="00860389"/>
    <w:rsid w:val="00860E83"/>
    <w:rsid w:val="00861538"/>
    <w:rsid w:val="0086205B"/>
    <w:rsid w:val="0086251B"/>
    <w:rsid w:val="0086276E"/>
    <w:rsid w:val="00862879"/>
    <w:rsid w:val="008630B9"/>
    <w:rsid w:val="00863CEF"/>
    <w:rsid w:val="0086470C"/>
    <w:rsid w:val="00864948"/>
    <w:rsid w:val="00864E0F"/>
    <w:rsid w:val="008658E7"/>
    <w:rsid w:val="00865BA1"/>
    <w:rsid w:val="0086628C"/>
    <w:rsid w:val="00866487"/>
    <w:rsid w:val="0086674D"/>
    <w:rsid w:val="00866A66"/>
    <w:rsid w:val="00867A88"/>
    <w:rsid w:val="00867F48"/>
    <w:rsid w:val="00870154"/>
    <w:rsid w:val="00870293"/>
    <w:rsid w:val="0087076F"/>
    <w:rsid w:val="008716E9"/>
    <w:rsid w:val="00871AA7"/>
    <w:rsid w:val="00872480"/>
    <w:rsid w:val="0087320A"/>
    <w:rsid w:val="0087328C"/>
    <w:rsid w:val="0087336A"/>
    <w:rsid w:val="00873414"/>
    <w:rsid w:val="00873C17"/>
    <w:rsid w:val="00873D5C"/>
    <w:rsid w:val="008740A4"/>
    <w:rsid w:val="0087464C"/>
    <w:rsid w:val="00874B74"/>
    <w:rsid w:val="00874D34"/>
    <w:rsid w:val="00874EA7"/>
    <w:rsid w:val="008757D0"/>
    <w:rsid w:val="00875E38"/>
    <w:rsid w:val="00875E87"/>
    <w:rsid w:val="00883BEC"/>
    <w:rsid w:val="0088551E"/>
    <w:rsid w:val="00885687"/>
    <w:rsid w:val="00885EC9"/>
    <w:rsid w:val="00885EDF"/>
    <w:rsid w:val="008860E6"/>
    <w:rsid w:val="008867C6"/>
    <w:rsid w:val="008872D1"/>
    <w:rsid w:val="00887C28"/>
    <w:rsid w:val="00887EEB"/>
    <w:rsid w:val="008902DD"/>
    <w:rsid w:val="00890435"/>
    <w:rsid w:val="00890676"/>
    <w:rsid w:val="00890E3D"/>
    <w:rsid w:val="0089104C"/>
    <w:rsid w:val="00891369"/>
    <w:rsid w:val="0089145D"/>
    <w:rsid w:val="00891FF9"/>
    <w:rsid w:val="008929CB"/>
    <w:rsid w:val="008929D8"/>
    <w:rsid w:val="00893710"/>
    <w:rsid w:val="00894117"/>
    <w:rsid w:val="00895060"/>
    <w:rsid w:val="00896AE0"/>
    <w:rsid w:val="00897157"/>
    <w:rsid w:val="008975CD"/>
    <w:rsid w:val="008A0566"/>
    <w:rsid w:val="008A0B6B"/>
    <w:rsid w:val="008A127A"/>
    <w:rsid w:val="008A13E2"/>
    <w:rsid w:val="008A165B"/>
    <w:rsid w:val="008A1DA7"/>
    <w:rsid w:val="008A1F1B"/>
    <w:rsid w:val="008A20B2"/>
    <w:rsid w:val="008A2445"/>
    <w:rsid w:val="008A28D7"/>
    <w:rsid w:val="008A331E"/>
    <w:rsid w:val="008A3857"/>
    <w:rsid w:val="008A4078"/>
    <w:rsid w:val="008A44A6"/>
    <w:rsid w:val="008A467C"/>
    <w:rsid w:val="008A4FB7"/>
    <w:rsid w:val="008A6428"/>
    <w:rsid w:val="008A6552"/>
    <w:rsid w:val="008A7506"/>
    <w:rsid w:val="008A7591"/>
    <w:rsid w:val="008B09AC"/>
    <w:rsid w:val="008B09D5"/>
    <w:rsid w:val="008B0A08"/>
    <w:rsid w:val="008B0E1A"/>
    <w:rsid w:val="008B12EA"/>
    <w:rsid w:val="008B13E6"/>
    <w:rsid w:val="008B1B44"/>
    <w:rsid w:val="008B21C8"/>
    <w:rsid w:val="008B282B"/>
    <w:rsid w:val="008B3264"/>
    <w:rsid w:val="008B33D8"/>
    <w:rsid w:val="008B386A"/>
    <w:rsid w:val="008B3F8F"/>
    <w:rsid w:val="008B5432"/>
    <w:rsid w:val="008B5B9B"/>
    <w:rsid w:val="008B5BBB"/>
    <w:rsid w:val="008B5E5D"/>
    <w:rsid w:val="008B6914"/>
    <w:rsid w:val="008B72C4"/>
    <w:rsid w:val="008B7685"/>
    <w:rsid w:val="008B77F7"/>
    <w:rsid w:val="008B79CC"/>
    <w:rsid w:val="008B79F0"/>
    <w:rsid w:val="008C09A6"/>
    <w:rsid w:val="008C150D"/>
    <w:rsid w:val="008C159A"/>
    <w:rsid w:val="008C1A54"/>
    <w:rsid w:val="008C2D0C"/>
    <w:rsid w:val="008C2EFA"/>
    <w:rsid w:val="008C4842"/>
    <w:rsid w:val="008C4A02"/>
    <w:rsid w:val="008C508A"/>
    <w:rsid w:val="008C53E6"/>
    <w:rsid w:val="008C562E"/>
    <w:rsid w:val="008C599E"/>
    <w:rsid w:val="008C5C66"/>
    <w:rsid w:val="008C6290"/>
    <w:rsid w:val="008C687E"/>
    <w:rsid w:val="008C79C6"/>
    <w:rsid w:val="008D115C"/>
    <w:rsid w:val="008D14ED"/>
    <w:rsid w:val="008D1733"/>
    <w:rsid w:val="008D33A4"/>
    <w:rsid w:val="008D3A93"/>
    <w:rsid w:val="008D4AB9"/>
    <w:rsid w:val="008D4ACF"/>
    <w:rsid w:val="008D4C5D"/>
    <w:rsid w:val="008D5822"/>
    <w:rsid w:val="008D5909"/>
    <w:rsid w:val="008D5B4E"/>
    <w:rsid w:val="008D5C2C"/>
    <w:rsid w:val="008D60F8"/>
    <w:rsid w:val="008D6A08"/>
    <w:rsid w:val="008E06DD"/>
    <w:rsid w:val="008E1836"/>
    <w:rsid w:val="008E18C7"/>
    <w:rsid w:val="008E1E99"/>
    <w:rsid w:val="008E22C4"/>
    <w:rsid w:val="008E23DE"/>
    <w:rsid w:val="008E2F37"/>
    <w:rsid w:val="008E37A4"/>
    <w:rsid w:val="008E3B98"/>
    <w:rsid w:val="008E3E57"/>
    <w:rsid w:val="008E5134"/>
    <w:rsid w:val="008E5DE4"/>
    <w:rsid w:val="008E69A0"/>
    <w:rsid w:val="008E6D3B"/>
    <w:rsid w:val="008E7454"/>
    <w:rsid w:val="008E7EFB"/>
    <w:rsid w:val="008F09B3"/>
    <w:rsid w:val="008F0AE8"/>
    <w:rsid w:val="008F194B"/>
    <w:rsid w:val="008F2BA7"/>
    <w:rsid w:val="008F2EA6"/>
    <w:rsid w:val="008F30D2"/>
    <w:rsid w:val="008F3D70"/>
    <w:rsid w:val="008F41FB"/>
    <w:rsid w:val="008F42A0"/>
    <w:rsid w:val="008F43C8"/>
    <w:rsid w:val="008F493D"/>
    <w:rsid w:val="008F4FCE"/>
    <w:rsid w:val="008F520E"/>
    <w:rsid w:val="008F57B0"/>
    <w:rsid w:val="008F6105"/>
    <w:rsid w:val="008F6575"/>
    <w:rsid w:val="008F6D92"/>
    <w:rsid w:val="008F6F08"/>
    <w:rsid w:val="00900263"/>
    <w:rsid w:val="00900D08"/>
    <w:rsid w:val="00901915"/>
    <w:rsid w:val="0090220A"/>
    <w:rsid w:val="0090244B"/>
    <w:rsid w:val="00902C19"/>
    <w:rsid w:val="00903211"/>
    <w:rsid w:val="0090339A"/>
    <w:rsid w:val="00903409"/>
    <w:rsid w:val="00903B56"/>
    <w:rsid w:val="00903B65"/>
    <w:rsid w:val="00904084"/>
    <w:rsid w:val="009044CD"/>
    <w:rsid w:val="0090541A"/>
    <w:rsid w:val="00905823"/>
    <w:rsid w:val="009058B9"/>
    <w:rsid w:val="00905926"/>
    <w:rsid w:val="009060EB"/>
    <w:rsid w:val="009064F2"/>
    <w:rsid w:val="00907046"/>
    <w:rsid w:val="00907813"/>
    <w:rsid w:val="00907D9B"/>
    <w:rsid w:val="00910246"/>
    <w:rsid w:val="00910878"/>
    <w:rsid w:val="00910ADA"/>
    <w:rsid w:val="00910BF4"/>
    <w:rsid w:val="00911427"/>
    <w:rsid w:val="00911E58"/>
    <w:rsid w:val="009122E0"/>
    <w:rsid w:val="009125D1"/>
    <w:rsid w:val="00912FF7"/>
    <w:rsid w:val="0091327A"/>
    <w:rsid w:val="0091344C"/>
    <w:rsid w:val="009139FF"/>
    <w:rsid w:val="00913E0F"/>
    <w:rsid w:val="0091441B"/>
    <w:rsid w:val="00914682"/>
    <w:rsid w:val="00914B78"/>
    <w:rsid w:val="00914D57"/>
    <w:rsid w:val="00914DA0"/>
    <w:rsid w:val="00914DD3"/>
    <w:rsid w:val="0091511A"/>
    <w:rsid w:val="0091595F"/>
    <w:rsid w:val="00915F8B"/>
    <w:rsid w:val="0091686C"/>
    <w:rsid w:val="00917F8B"/>
    <w:rsid w:val="00920677"/>
    <w:rsid w:val="009209EE"/>
    <w:rsid w:val="00920D22"/>
    <w:rsid w:val="009212BF"/>
    <w:rsid w:val="00921A4C"/>
    <w:rsid w:val="00921C0C"/>
    <w:rsid w:val="009231A4"/>
    <w:rsid w:val="00923AB2"/>
    <w:rsid w:val="00923DFE"/>
    <w:rsid w:val="009243C9"/>
    <w:rsid w:val="00924A53"/>
    <w:rsid w:val="00924AA5"/>
    <w:rsid w:val="00925F8C"/>
    <w:rsid w:val="0092695E"/>
    <w:rsid w:val="00926BA4"/>
    <w:rsid w:val="00926EBE"/>
    <w:rsid w:val="009271F3"/>
    <w:rsid w:val="0093025D"/>
    <w:rsid w:val="00930406"/>
    <w:rsid w:val="00930A2E"/>
    <w:rsid w:val="00930DD9"/>
    <w:rsid w:val="009313A7"/>
    <w:rsid w:val="00931427"/>
    <w:rsid w:val="00931487"/>
    <w:rsid w:val="0093209A"/>
    <w:rsid w:val="00932B0D"/>
    <w:rsid w:val="00933F6C"/>
    <w:rsid w:val="0093422F"/>
    <w:rsid w:val="009345CB"/>
    <w:rsid w:val="00934F30"/>
    <w:rsid w:val="00935900"/>
    <w:rsid w:val="00935B79"/>
    <w:rsid w:val="00937901"/>
    <w:rsid w:val="00937FA9"/>
    <w:rsid w:val="00940090"/>
    <w:rsid w:val="0094074E"/>
    <w:rsid w:val="009408A7"/>
    <w:rsid w:val="009410F8"/>
    <w:rsid w:val="00941275"/>
    <w:rsid w:val="009426DE"/>
    <w:rsid w:val="0094315D"/>
    <w:rsid w:val="00943670"/>
    <w:rsid w:val="00944311"/>
    <w:rsid w:val="00944735"/>
    <w:rsid w:val="0094517F"/>
    <w:rsid w:val="009460E7"/>
    <w:rsid w:val="00946E15"/>
    <w:rsid w:val="00947909"/>
    <w:rsid w:val="00947AED"/>
    <w:rsid w:val="00950106"/>
    <w:rsid w:val="009501D6"/>
    <w:rsid w:val="0095057A"/>
    <w:rsid w:val="00950590"/>
    <w:rsid w:val="00950DA8"/>
    <w:rsid w:val="00951258"/>
    <w:rsid w:val="00951987"/>
    <w:rsid w:val="00951EBA"/>
    <w:rsid w:val="00952B41"/>
    <w:rsid w:val="0095317C"/>
    <w:rsid w:val="00954051"/>
    <w:rsid w:val="00954421"/>
    <w:rsid w:val="00954532"/>
    <w:rsid w:val="0095489E"/>
    <w:rsid w:val="00954D4D"/>
    <w:rsid w:val="009565FF"/>
    <w:rsid w:val="00956695"/>
    <w:rsid w:val="009567E6"/>
    <w:rsid w:val="00957CFD"/>
    <w:rsid w:val="00961473"/>
    <w:rsid w:val="00961556"/>
    <w:rsid w:val="0096183C"/>
    <w:rsid w:val="00961C31"/>
    <w:rsid w:val="00962443"/>
    <w:rsid w:val="00962673"/>
    <w:rsid w:val="00962981"/>
    <w:rsid w:val="00962BC6"/>
    <w:rsid w:val="00962F15"/>
    <w:rsid w:val="0096350B"/>
    <w:rsid w:val="00963A2F"/>
    <w:rsid w:val="00963C8F"/>
    <w:rsid w:val="00964265"/>
    <w:rsid w:val="009648B4"/>
    <w:rsid w:val="009648D0"/>
    <w:rsid w:val="00964BC0"/>
    <w:rsid w:val="00965C32"/>
    <w:rsid w:val="00965FF1"/>
    <w:rsid w:val="009669BB"/>
    <w:rsid w:val="009669CF"/>
    <w:rsid w:val="00967291"/>
    <w:rsid w:val="0097019C"/>
    <w:rsid w:val="009706E9"/>
    <w:rsid w:val="00970F4A"/>
    <w:rsid w:val="00971F85"/>
    <w:rsid w:val="00972063"/>
    <w:rsid w:val="0097235F"/>
    <w:rsid w:val="0097293B"/>
    <w:rsid w:val="00973677"/>
    <w:rsid w:val="00973935"/>
    <w:rsid w:val="0097418C"/>
    <w:rsid w:val="009747B8"/>
    <w:rsid w:val="00975312"/>
    <w:rsid w:val="009756D6"/>
    <w:rsid w:val="00975789"/>
    <w:rsid w:val="00976163"/>
    <w:rsid w:val="009764F9"/>
    <w:rsid w:val="009771D1"/>
    <w:rsid w:val="0097738A"/>
    <w:rsid w:val="00977DAF"/>
    <w:rsid w:val="009801E3"/>
    <w:rsid w:val="00980436"/>
    <w:rsid w:val="0098069E"/>
    <w:rsid w:val="009807EC"/>
    <w:rsid w:val="00980D04"/>
    <w:rsid w:val="00981667"/>
    <w:rsid w:val="00982134"/>
    <w:rsid w:val="00983863"/>
    <w:rsid w:val="00984585"/>
    <w:rsid w:val="0098498F"/>
    <w:rsid w:val="00984DA8"/>
    <w:rsid w:val="009851A1"/>
    <w:rsid w:val="00985B2E"/>
    <w:rsid w:val="00986370"/>
    <w:rsid w:val="009874B6"/>
    <w:rsid w:val="00987745"/>
    <w:rsid w:val="00987BB2"/>
    <w:rsid w:val="009901C9"/>
    <w:rsid w:val="00990205"/>
    <w:rsid w:val="009906BE"/>
    <w:rsid w:val="00990778"/>
    <w:rsid w:val="00990E1C"/>
    <w:rsid w:val="00990EC7"/>
    <w:rsid w:val="009910C7"/>
    <w:rsid w:val="0099125F"/>
    <w:rsid w:val="0099155A"/>
    <w:rsid w:val="009918C0"/>
    <w:rsid w:val="00991955"/>
    <w:rsid w:val="00992951"/>
    <w:rsid w:val="00993D8C"/>
    <w:rsid w:val="00993D8F"/>
    <w:rsid w:val="00994DE2"/>
    <w:rsid w:val="00994EF2"/>
    <w:rsid w:val="00994F46"/>
    <w:rsid w:val="009955C7"/>
    <w:rsid w:val="009958D3"/>
    <w:rsid w:val="00996309"/>
    <w:rsid w:val="0099694B"/>
    <w:rsid w:val="00996BA0"/>
    <w:rsid w:val="00996D39"/>
    <w:rsid w:val="009A04EC"/>
    <w:rsid w:val="009A0551"/>
    <w:rsid w:val="009A16D0"/>
    <w:rsid w:val="009A1CF0"/>
    <w:rsid w:val="009A2005"/>
    <w:rsid w:val="009A24FE"/>
    <w:rsid w:val="009A2D4E"/>
    <w:rsid w:val="009A2E04"/>
    <w:rsid w:val="009A31CB"/>
    <w:rsid w:val="009A38C3"/>
    <w:rsid w:val="009A38F4"/>
    <w:rsid w:val="009A3B98"/>
    <w:rsid w:val="009A3E92"/>
    <w:rsid w:val="009A4B8A"/>
    <w:rsid w:val="009A5282"/>
    <w:rsid w:val="009A6369"/>
    <w:rsid w:val="009A6F7D"/>
    <w:rsid w:val="009A7294"/>
    <w:rsid w:val="009A7A64"/>
    <w:rsid w:val="009B1324"/>
    <w:rsid w:val="009B1BC5"/>
    <w:rsid w:val="009B23E4"/>
    <w:rsid w:val="009B360F"/>
    <w:rsid w:val="009B3D6A"/>
    <w:rsid w:val="009B4782"/>
    <w:rsid w:val="009B50B5"/>
    <w:rsid w:val="009B5D2E"/>
    <w:rsid w:val="009B6582"/>
    <w:rsid w:val="009B720D"/>
    <w:rsid w:val="009C072D"/>
    <w:rsid w:val="009C0BB5"/>
    <w:rsid w:val="009C1FE6"/>
    <w:rsid w:val="009C2095"/>
    <w:rsid w:val="009C2452"/>
    <w:rsid w:val="009C29EC"/>
    <w:rsid w:val="009C35EA"/>
    <w:rsid w:val="009C39EC"/>
    <w:rsid w:val="009C3C87"/>
    <w:rsid w:val="009C3DCF"/>
    <w:rsid w:val="009C3EF7"/>
    <w:rsid w:val="009C4289"/>
    <w:rsid w:val="009C523B"/>
    <w:rsid w:val="009C52D0"/>
    <w:rsid w:val="009C53AB"/>
    <w:rsid w:val="009C591F"/>
    <w:rsid w:val="009C6227"/>
    <w:rsid w:val="009C6DC4"/>
    <w:rsid w:val="009C7A14"/>
    <w:rsid w:val="009C7D57"/>
    <w:rsid w:val="009D0174"/>
    <w:rsid w:val="009D04CF"/>
    <w:rsid w:val="009D1470"/>
    <w:rsid w:val="009D20CF"/>
    <w:rsid w:val="009D214C"/>
    <w:rsid w:val="009D2FE7"/>
    <w:rsid w:val="009D3244"/>
    <w:rsid w:val="009D3626"/>
    <w:rsid w:val="009D393A"/>
    <w:rsid w:val="009D3F73"/>
    <w:rsid w:val="009D47BE"/>
    <w:rsid w:val="009D5579"/>
    <w:rsid w:val="009D5F35"/>
    <w:rsid w:val="009D5FC3"/>
    <w:rsid w:val="009D6489"/>
    <w:rsid w:val="009D6984"/>
    <w:rsid w:val="009D6F28"/>
    <w:rsid w:val="009D7A90"/>
    <w:rsid w:val="009D7A9B"/>
    <w:rsid w:val="009E03F9"/>
    <w:rsid w:val="009E04D7"/>
    <w:rsid w:val="009E0F38"/>
    <w:rsid w:val="009E1C77"/>
    <w:rsid w:val="009E1E11"/>
    <w:rsid w:val="009E1E3B"/>
    <w:rsid w:val="009E248D"/>
    <w:rsid w:val="009E24C1"/>
    <w:rsid w:val="009E2901"/>
    <w:rsid w:val="009E2B5A"/>
    <w:rsid w:val="009E3226"/>
    <w:rsid w:val="009E40E3"/>
    <w:rsid w:val="009E5335"/>
    <w:rsid w:val="009E533D"/>
    <w:rsid w:val="009E55CF"/>
    <w:rsid w:val="009E6AEB"/>
    <w:rsid w:val="009E7E33"/>
    <w:rsid w:val="009F0433"/>
    <w:rsid w:val="009F0AE8"/>
    <w:rsid w:val="009F0CF4"/>
    <w:rsid w:val="009F0D1E"/>
    <w:rsid w:val="009F0E8A"/>
    <w:rsid w:val="009F1583"/>
    <w:rsid w:val="009F2181"/>
    <w:rsid w:val="009F26FE"/>
    <w:rsid w:val="009F29FE"/>
    <w:rsid w:val="009F320F"/>
    <w:rsid w:val="009F35B9"/>
    <w:rsid w:val="009F3E4B"/>
    <w:rsid w:val="009F45A6"/>
    <w:rsid w:val="009F5195"/>
    <w:rsid w:val="009F6818"/>
    <w:rsid w:val="009F7780"/>
    <w:rsid w:val="009F7804"/>
    <w:rsid w:val="009F7CD9"/>
    <w:rsid w:val="00A001B0"/>
    <w:rsid w:val="00A00497"/>
    <w:rsid w:val="00A007BD"/>
    <w:rsid w:val="00A00FDF"/>
    <w:rsid w:val="00A0209E"/>
    <w:rsid w:val="00A02218"/>
    <w:rsid w:val="00A028A5"/>
    <w:rsid w:val="00A031FE"/>
    <w:rsid w:val="00A04195"/>
    <w:rsid w:val="00A05169"/>
    <w:rsid w:val="00A05BEC"/>
    <w:rsid w:val="00A06596"/>
    <w:rsid w:val="00A06BF5"/>
    <w:rsid w:val="00A0716F"/>
    <w:rsid w:val="00A076A5"/>
    <w:rsid w:val="00A07A03"/>
    <w:rsid w:val="00A10030"/>
    <w:rsid w:val="00A101A3"/>
    <w:rsid w:val="00A102F2"/>
    <w:rsid w:val="00A10477"/>
    <w:rsid w:val="00A1134D"/>
    <w:rsid w:val="00A11F7D"/>
    <w:rsid w:val="00A123A8"/>
    <w:rsid w:val="00A1274A"/>
    <w:rsid w:val="00A127D7"/>
    <w:rsid w:val="00A131BC"/>
    <w:rsid w:val="00A132C3"/>
    <w:rsid w:val="00A142FB"/>
    <w:rsid w:val="00A14A92"/>
    <w:rsid w:val="00A14CC3"/>
    <w:rsid w:val="00A15814"/>
    <w:rsid w:val="00A158B5"/>
    <w:rsid w:val="00A15C20"/>
    <w:rsid w:val="00A15FC3"/>
    <w:rsid w:val="00A16681"/>
    <w:rsid w:val="00A16EF0"/>
    <w:rsid w:val="00A170E4"/>
    <w:rsid w:val="00A17319"/>
    <w:rsid w:val="00A20137"/>
    <w:rsid w:val="00A208CC"/>
    <w:rsid w:val="00A2092E"/>
    <w:rsid w:val="00A2133F"/>
    <w:rsid w:val="00A219E5"/>
    <w:rsid w:val="00A23E1F"/>
    <w:rsid w:val="00A2479B"/>
    <w:rsid w:val="00A24B38"/>
    <w:rsid w:val="00A257AB"/>
    <w:rsid w:val="00A25B1A"/>
    <w:rsid w:val="00A25D87"/>
    <w:rsid w:val="00A27B5C"/>
    <w:rsid w:val="00A315AB"/>
    <w:rsid w:val="00A32F54"/>
    <w:rsid w:val="00A3357C"/>
    <w:rsid w:val="00A33623"/>
    <w:rsid w:val="00A33A15"/>
    <w:rsid w:val="00A33CB5"/>
    <w:rsid w:val="00A34C7C"/>
    <w:rsid w:val="00A34F16"/>
    <w:rsid w:val="00A35200"/>
    <w:rsid w:val="00A353D8"/>
    <w:rsid w:val="00A356D4"/>
    <w:rsid w:val="00A35E75"/>
    <w:rsid w:val="00A36587"/>
    <w:rsid w:val="00A3695B"/>
    <w:rsid w:val="00A36BA4"/>
    <w:rsid w:val="00A3717E"/>
    <w:rsid w:val="00A37550"/>
    <w:rsid w:val="00A37617"/>
    <w:rsid w:val="00A37B21"/>
    <w:rsid w:val="00A37E1F"/>
    <w:rsid w:val="00A40354"/>
    <w:rsid w:val="00A405F1"/>
    <w:rsid w:val="00A40E4C"/>
    <w:rsid w:val="00A414B7"/>
    <w:rsid w:val="00A41823"/>
    <w:rsid w:val="00A41B6D"/>
    <w:rsid w:val="00A423B4"/>
    <w:rsid w:val="00A42CF5"/>
    <w:rsid w:val="00A433C2"/>
    <w:rsid w:val="00A4363F"/>
    <w:rsid w:val="00A44301"/>
    <w:rsid w:val="00A44A23"/>
    <w:rsid w:val="00A44F34"/>
    <w:rsid w:val="00A46500"/>
    <w:rsid w:val="00A47174"/>
    <w:rsid w:val="00A47A90"/>
    <w:rsid w:val="00A47DBD"/>
    <w:rsid w:val="00A5035C"/>
    <w:rsid w:val="00A50CBA"/>
    <w:rsid w:val="00A50CE5"/>
    <w:rsid w:val="00A518FA"/>
    <w:rsid w:val="00A51B8A"/>
    <w:rsid w:val="00A51E15"/>
    <w:rsid w:val="00A51E2C"/>
    <w:rsid w:val="00A51FCA"/>
    <w:rsid w:val="00A5251B"/>
    <w:rsid w:val="00A52E3B"/>
    <w:rsid w:val="00A53323"/>
    <w:rsid w:val="00A53E36"/>
    <w:rsid w:val="00A53E48"/>
    <w:rsid w:val="00A5514D"/>
    <w:rsid w:val="00A557DA"/>
    <w:rsid w:val="00A5587F"/>
    <w:rsid w:val="00A558C6"/>
    <w:rsid w:val="00A55EC0"/>
    <w:rsid w:val="00A5605E"/>
    <w:rsid w:val="00A563E8"/>
    <w:rsid w:val="00A579B2"/>
    <w:rsid w:val="00A57C36"/>
    <w:rsid w:val="00A60C9D"/>
    <w:rsid w:val="00A60E40"/>
    <w:rsid w:val="00A60EED"/>
    <w:rsid w:val="00A6129C"/>
    <w:rsid w:val="00A6226E"/>
    <w:rsid w:val="00A62288"/>
    <w:rsid w:val="00A63994"/>
    <w:rsid w:val="00A64350"/>
    <w:rsid w:val="00A64570"/>
    <w:rsid w:val="00A649B0"/>
    <w:rsid w:val="00A64AE2"/>
    <w:rsid w:val="00A64B6E"/>
    <w:rsid w:val="00A64D42"/>
    <w:rsid w:val="00A650E1"/>
    <w:rsid w:val="00A65202"/>
    <w:rsid w:val="00A655E0"/>
    <w:rsid w:val="00A657D4"/>
    <w:rsid w:val="00A65805"/>
    <w:rsid w:val="00A65848"/>
    <w:rsid w:val="00A663C8"/>
    <w:rsid w:val="00A666C3"/>
    <w:rsid w:val="00A675C4"/>
    <w:rsid w:val="00A67A60"/>
    <w:rsid w:val="00A67C15"/>
    <w:rsid w:val="00A67D29"/>
    <w:rsid w:val="00A70C5A"/>
    <w:rsid w:val="00A7196C"/>
    <w:rsid w:val="00A7198D"/>
    <w:rsid w:val="00A720EC"/>
    <w:rsid w:val="00A725E4"/>
    <w:rsid w:val="00A729D9"/>
    <w:rsid w:val="00A72DB2"/>
    <w:rsid w:val="00A73F50"/>
    <w:rsid w:val="00A74AA3"/>
    <w:rsid w:val="00A75B7A"/>
    <w:rsid w:val="00A76080"/>
    <w:rsid w:val="00A761CA"/>
    <w:rsid w:val="00A76212"/>
    <w:rsid w:val="00A7639B"/>
    <w:rsid w:val="00A80A22"/>
    <w:rsid w:val="00A81430"/>
    <w:rsid w:val="00A815AA"/>
    <w:rsid w:val="00A81C8A"/>
    <w:rsid w:val="00A81E01"/>
    <w:rsid w:val="00A822AE"/>
    <w:rsid w:val="00A82E3F"/>
    <w:rsid w:val="00A840AB"/>
    <w:rsid w:val="00A84743"/>
    <w:rsid w:val="00A84877"/>
    <w:rsid w:val="00A84E7C"/>
    <w:rsid w:val="00A858E0"/>
    <w:rsid w:val="00A86393"/>
    <w:rsid w:val="00A86567"/>
    <w:rsid w:val="00A87123"/>
    <w:rsid w:val="00A90F0B"/>
    <w:rsid w:val="00A931A2"/>
    <w:rsid w:val="00A938CE"/>
    <w:rsid w:val="00A93C36"/>
    <w:rsid w:val="00A93D9D"/>
    <w:rsid w:val="00A94B6B"/>
    <w:rsid w:val="00A952BF"/>
    <w:rsid w:val="00A95882"/>
    <w:rsid w:val="00A9680D"/>
    <w:rsid w:val="00AA0AC1"/>
    <w:rsid w:val="00AA0C9C"/>
    <w:rsid w:val="00AA0CC5"/>
    <w:rsid w:val="00AA1A49"/>
    <w:rsid w:val="00AA1D12"/>
    <w:rsid w:val="00AA20D6"/>
    <w:rsid w:val="00AA257B"/>
    <w:rsid w:val="00AA2739"/>
    <w:rsid w:val="00AA3389"/>
    <w:rsid w:val="00AA437A"/>
    <w:rsid w:val="00AA5A0E"/>
    <w:rsid w:val="00AA5BE9"/>
    <w:rsid w:val="00AA61E9"/>
    <w:rsid w:val="00AA6430"/>
    <w:rsid w:val="00AA6E64"/>
    <w:rsid w:val="00AA705B"/>
    <w:rsid w:val="00AB0752"/>
    <w:rsid w:val="00AB0B98"/>
    <w:rsid w:val="00AB0C7C"/>
    <w:rsid w:val="00AB0E55"/>
    <w:rsid w:val="00AB0F1A"/>
    <w:rsid w:val="00AB101D"/>
    <w:rsid w:val="00AB12C4"/>
    <w:rsid w:val="00AB1FD1"/>
    <w:rsid w:val="00AB2682"/>
    <w:rsid w:val="00AB2EDF"/>
    <w:rsid w:val="00AB400F"/>
    <w:rsid w:val="00AB494B"/>
    <w:rsid w:val="00AB4D08"/>
    <w:rsid w:val="00AB4FBC"/>
    <w:rsid w:val="00AB5035"/>
    <w:rsid w:val="00AB5395"/>
    <w:rsid w:val="00AB6491"/>
    <w:rsid w:val="00AB6560"/>
    <w:rsid w:val="00AB66E0"/>
    <w:rsid w:val="00AB6F72"/>
    <w:rsid w:val="00AB6F7C"/>
    <w:rsid w:val="00AC0824"/>
    <w:rsid w:val="00AC09CA"/>
    <w:rsid w:val="00AC165E"/>
    <w:rsid w:val="00AC1993"/>
    <w:rsid w:val="00AC19AF"/>
    <w:rsid w:val="00AC1A5C"/>
    <w:rsid w:val="00AC1C8D"/>
    <w:rsid w:val="00AC2691"/>
    <w:rsid w:val="00AC2B3B"/>
    <w:rsid w:val="00AC2CCE"/>
    <w:rsid w:val="00AC2D12"/>
    <w:rsid w:val="00AC431E"/>
    <w:rsid w:val="00AC4F2B"/>
    <w:rsid w:val="00AC5266"/>
    <w:rsid w:val="00AC52FB"/>
    <w:rsid w:val="00AC5D5C"/>
    <w:rsid w:val="00AC6374"/>
    <w:rsid w:val="00AC7436"/>
    <w:rsid w:val="00AC76C2"/>
    <w:rsid w:val="00AD0471"/>
    <w:rsid w:val="00AD05EF"/>
    <w:rsid w:val="00AD065A"/>
    <w:rsid w:val="00AD0AC1"/>
    <w:rsid w:val="00AD160D"/>
    <w:rsid w:val="00AD1C75"/>
    <w:rsid w:val="00AD2471"/>
    <w:rsid w:val="00AD2DD7"/>
    <w:rsid w:val="00AD3F0E"/>
    <w:rsid w:val="00AD4A77"/>
    <w:rsid w:val="00AD4BEC"/>
    <w:rsid w:val="00AD4D0B"/>
    <w:rsid w:val="00AD5173"/>
    <w:rsid w:val="00AD532B"/>
    <w:rsid w:val="00AD5BC4"/>
    <w:rsid w:val="00AD6ADB"/>
    <w:rsid w:val="00AD6F39"/>
    <w:rsid w:val="00AD73DC"/>
    <w:rsid w:val="00AD7655"/>
    <w:rsid w:val="00AE0F15"/>
    <w:rsid w:val="00AE0F34"/>
    <w:rsid w:val="00AE1414"/>
    <w:rsid w:val="00AE1A18"/>
    <w:rsid w:val="00AE2D21"/>
    <w:rsid w:val="00AE39A8"/>
    <w:rsid w:val="00AE3B44"/>
    <w:rsid w:val="00AE3B8C"/>
    <w:rsid w:val="00AE3C7B"/>
    <w:rsid w:val="00AE5173"/>
    <w:rsid w:val="00AE55C7"/>
    <w:rsid w:val="00AE55DC"/>
    <w:rsid w:val="00AE560A"/>
    <w:rsid w:val="00AE616F"/>
    <w:rsid w:val="00AE71E8"/>
    <w:rsid w:val="00AF07A7"/>
    <w:rsid w:val="00AF0B03"/>
    <w:rsid w:val="00AF102D"/>
    <w:rsid w:val="00AF112C"/>
    <w:rsid w:val="00AF166A"/>
    <w:rsid w:val="00AF1673"/>
    <w:rsid w:val="00AF1DF1"/>
    <w:rsid w:val="00AF236B"/>
    <w:rsid w:val="00AF328A"/>
    <w:rsid w:val="00AF3465"/>
    <w:rsid w:val="00AF36F4"/>
    <w:rsid w:val="00AF39C2"/>
    <w:rsid w:val="00AF3AF7"/>
    <w:rsid w:val="00AF3FD1"/>
    <w:rsid w:val="00AF421C"/>
    <w:rsid w:val="00AF45F9"/>
    <w:rsid w:val="00AF4DE8"/>
    <w:rsid w:val="00AF5057"/>
    <w:rsid w:val="00AF5A75"/>
    <w:rsid w:val="00AF5F15"/>
    <w:rsid w:val="00AF695E"/>
    <w:rsid w:val="00AF75D0"/>
    <w:rsid w:val="00B01737"/>
    <w:rsid w:val="00B0253A"/>
    <w:rsid w:val="00B02609"/>
    <w:rsid w:val="00B0300F"/>
    <w:rsid w:val="00B03304"/>
    <w:rsid w:val="00B03E6C"/>
    <w:rsid w:val="00B044D7"/>
    <w:rsid w:val="00B04CFF"/>
    <w:rsid w:val="00B04D94"/>
    <w:rsid w:val="00B05E09"/>
    <w:rsid w:val="00B05F75"/>
    <w:rsid w:val="00B06300"/>
    <w:rsid w:val="00B066A6"/>
    <w:rsid w:val="00B067C6"/>
    <w:rsid w:val="00B0690C"/>
    <w:rsid w:val="00B07453"/>
    <w:rsid w:val="00B078FB"/>
    <w:rsid w:val="00B07A5F"/>
    <w:rsid w:val="00B07C73"/>
    <w:rsid w:val="00B1024F"/>
    <w:rsid w:val="00B107F1"/>
    <w:rsid w:val="00B10998"/>
    <w:rsid w:val="00B10EC6"/>
    <w:rsid w:val="00B110EB"/>
    <w:rsid w:val="00B11A9D"/>
    <w:rsid w:val="00B12B25"/>
    <w:rsid w:val="00B12F20"/>
    <w:rsid w:val="00B136BF"/>
    <w:rsid w:val="00B13A95"/>
    <w:rsid w:val="00B13AAA"/>
    <w:rsid w:val="00B142CB"/>
    <w:rsid w:val="00B14420"/>
    <w:rsid w:val="00B1468A"/>
    <w:rsid w:val="00B14C4A"/>
    <w:rsid w:val="00B1599B"/>
    <w:rsid w:val="00B15A91"/>
    <w:rsid w:val="00B15A96"/>
    <w:rsid w:val="00B162F1"/>
    <w:rsid w:val="00B1632F"/>
    <w:rsid w:val="00B164FF"/>
    <w:rsid w:val="00B1652C"/>
    <w:rsid w:val="00B165FB"/>
    <w:rsid w:val="00B16CAA"/>
    <w:rsid w:val="00B1795C"/>
    <w:rsid w:val="00B17FBF"/>
    <w:rsid w:val="00B20382"/>
    <w:rsid w:val="00B203F6"/>
    <w:rsid w:val="00B20FF5"/>
    <w:rsid w:val="00B2150B"/>
    <w:rsid w:val="00B22039"/>
    <w:rsid w:val="00B22BCF"/>
    <w:rsid w:val="00B23581"/>
    <w:rsid w:val="00B23A85"/>
    <w:rsid w:val="00B24AA6"/>
    <w:rsid w:val="00B24C90"/>
    <w:rsid w:val="00B24F05"/>
    <w:rsid w:val="00B2531A"/>
    <w:rsid w:val="00B25357"/>
    <w:rsid w:val="00B25FF7"/>
    <w:rsid w:val="00B2673F"/>
    <w:rsid w:val="00B26C5F"/>
    <w:rsid w:val="00B27C21"/>
    <w:rsid w:val="00B30E2E"/>
    <w:rsid w:val="00B32057"/>
    <w:rsid w:val="00B3348B"/>
    <w:rsid w:val="00B3370C"/>
    <w:rsid w:val="00B33A57"/>
    <w:rsid w:val="00B34644"/>
    <w:rsid w:val="00B34827"/>
    <w:rsid w:val="00B351C5"/>
    <w:rsid w:val="00B35417"/>
    <w:rsid w:val="00B355C7"/>
    <w:rsid w:val="00B3588C"/>
    <w:rsid w:val="00B35BE4"/>
    <w:rsid w:val="00B364AD"/>
    <w:rsid w:val="00B36544"/>
    <w:rsid w:val="00B366C4"/>
    <w:rsid w:val="00B36939"/>
    <w:rsid w:val="00B37193"/>
    <w:rsid w:val="00B37BE4"/>
    <w:rsid w:val="00B37E63"/>
    <w:rsid w:val="00B40069"/>
    <w:rsid w:val="00B4009D"/>
    <w:rsid w:val="00B405F7"/>
    <w:rsid w:val="00B417A6"/>
    <w:rsid w:val="00B42AD5"/>
    <w:rsid w:val="00B42DD3"/>
    <w:rsid w:val="00B4333D"/>
    <w:rsid w:val="00B434DD"/>
    <w:rsid w:val="00B43508"/>
    <w:rsid w:val="00B43AA7"/>
    <w:rsid w:val="00B45F80"/>
    <w:rsid w:val="00B463BE"/>
    <w:rsid w:val="00B469A6"/>
    <w:rsid w:val="00B46D0A"/>
    <w:rsid w:val="00B46D38"/>
    <w:rsid w:val="00B47331"/>
    <w:rsid w:val="00B4754C"/>
    <w:rsid w:val="00B50119"/>
    <w:rsid w:val="00B501C0"/>
    <w:rsid w:val="00B503C0"/>
    <w:rsid w:val="00B51310"/>
    <w:rsid w:val="00B51798"/>
    <w:rsid w:val="00B51BB0"/>
    <w:rsid w:val="00B51D5A"/>
    <w:rsid w:val="00B52AC9"/>
    <w:rsid w:val="00B52B18"/>
    <w:rsid w:val="00B52F77"/>
    <w:rsid w:val="00B5363D"/>
    <w:rsid w:val="00B53A43"/>
    <w:rsid w:val="00B540E7"/>
    <w:rsid w:val="00B547DC"/>
    <w:rsid w:val="00B5585C"/>
    <w:rsid w:val="00B5603B"/>
    <w:rsid w:val="00B5745D"/>
    <w:rsid w:val="00B601D3"/>
    <w:rsid w:val="00B6054B"/>
    <w:rsid w:val="00B607BB"/>
    <w:rsid w:val="00B61642"/>
    <w:rsid w:val="00B61ABC"/>
    <w:rsid w:val="00B61C9E"/>
    <w:rsid w:val="00B61CA6"/>
    <w:rsid w:val="00B621E2"/>
    <w:rsid w:val="00B62B58"/>
    <w:rsid w:val="00B630D7"/>
    <w:rsid w:val="00B63127"/>
    <w:rsid w:val="00B63B46"/>
    <w:rsid w:val="00B63D09"/>
    <w:rsid w:val="00B63F5A"/>
    <w:rsid w:val="00B65333"/>
    <w:rsid w:val="00B663AA"/>
    <w:rsid w:val="00B66687"/>
    <w:rsid w:val="00B66E0F"/>
    <w:rsid w:val="00B67D82"/>
    <w:rsid w:val="00B70105"/>
    <w:rsid w:val="00B70521"/>
    <w:rsid w:val="00B70A5D"/>
    <w:rsid w:val="00B71497"/>
    <w:rsid w:val="00B71EDD"/>
    <w:rsid w:val="00B727D6"/>
    <w:rsid w:val="00B731DA"/>
    <w:rsid w:val="00B73447"/>
    <w:rsid w:val="00B73D3F"/>
    <w:rsid w:val="00B73D9E"/>
    <w:rsid w:val="00B73EBA"/>
    <w:rsid w:val="00B74860"/>
    <w:rsid w:val="00B74964"/>
    <w:rsid w:val="00B749E0"/>
    <w:rsid w:val="00B74D11"/>
    <w:rsid w:val="00B7501D"/>
    <w:rsid w:val="00B75224"/>
    <w:rsid w:val="00B75D0E"/>
    <w:rsid w:val="00B7713B"/>
    <w:rsid w:val="00B77D38"/>
    <w:rsid w:val="00B77DD2"/>
    <w:rsid w:val="00B80EAF"/>
    <w:rsid w:val="00B81079"/>
    <w:rsid w:val="00B81F83"/>
    <w:rsid w:val="00B83A76"/>
    <w:rsid w:val="00B84762"/>
    <w:rsid w:val="00B8484E"/>
    <w:rsid w:val="00B85508"/>
    <w:rsid w:val="00B863DE"/>
    <w:rsid w:val="00B87B2B"/>
    <w:rsid w:val="00B87CB3"/>
    <w:rsid w:val="00B900EA"/>
    <w:rsid w:val="00B9070A"/>
    <w:rsid w:val="00B90A84"/>
    <w:rsid w:val="00B90C87"/>
    <w:rsid w:val="00B911AD"/>
    <w:rsid w:val="00B912F6"/>
    <w:rsid w:val="00B91BF1"/>
    <w:rsid w:val="00B93304"/>
    <w:rsid w:val="00B93BB0"/>
    <w:rsid w:val="00B9431B"/>
    <w:rsid w:val="00B944D5"/>
    <w:rsid w:val="00B94D41"/>
    <w:rsid w:val="00B94E75"/>
    <w:rsid w:val="00B95D49"/>
    <w:rsid w:val="00B96BEE"/>
    <w:rsid w:val="00B97BCF"/>
    <w:rsid w:val="00BA03AF"/>
    <w:rsid w:val="00BA0504"/>
    <w:rsid w:val="00BA0722"/>
    <w:rsid w:val="00BA07D5"/>
    <w:rsid w:val="00BA0CD9"/>
    <w:rsid w:val="00BA12C2"/>
    <w:rsid w:val="00BA132E"/>
    <w:rsid w:val="00BA23A0"/>
    <w:rsid w:val="00BA2A79"/>
    <w:rsid w:val="00BA2D5A"/>
    <w:rsid w:val="00BA399C"/>
    <w:rsid w:val="00BA41EE"/>
    <w:rsid w:val="00BA4429"/>
    <w:rsid w:val="00BA4C9C"/>
    <w:rsid w:val="00BA4FA2"/>
    <w:rsid w:val="00BA504B"/>
    <w:rsid w:val="00BA506C"/>
    <w:rsid w:val="00BA57FD"/>
    <w:rsid w:val="00BA5AA9"/>
    <w:rsid w:val="00BA5E35"/>
    <w:rsid w:val="00BA5F30"/>
    <w:rsid w:val="00BA6499"/>
    <w:rsid w:val="00BA69EE"/>
    <w:rsid w:val="00BA6A06"/>
    <w:rsid w:val="00BA6ED5"/>
    <w:rsid w:val="00BA79BC"/>
    <w:rsid w:val="00BA79EF"/>
    <w:rsid w:val="00BA7AAB"/>
    <w:rsid w:val="00BA7F26"/>
    <w:rsid w:val="00BB0B88"/>
    <w:rsid w:val="00BB0BE8"/>
    <w:rsid w:val="00BB0C1E"/>
    <w:rsid w:val="00BB1415"/>
    <w:rsid w:val="00BB18E8"/>
    <w:rsid w:val="00BB1AA8"/>
    <w:rsid w:val="00BB25B4"/>
    <w:rsid w:val="00BB2D15"/>
    <w:rsid w:val="00BB343D"/>
    <w:rsid w:val="00BB425B"/>
    <w:rsid w:val="00BB47B2"/>
    <w:rsid w:val="00BB4DF5"/>
    <w:rsid w:val="00BB5133"/>
    <w:rsid w:val="00BB543F"/>
    <w:rsid w:val="00BB544B"/>
    <w:rsid w:val="00BB5570"/>
    <w:rsid w:val="00BB691E"/>
    <w:rsid w:val="00BB6B36"/>
    <w:rsid w:val="00BB6CA5"/>
    <w:rsid w:val="00BB7773"/>
    <w:rsid w:val="00BC01E3"/>
    <w:rsid w:val="00BC07E4"/>
    <w:rsid w:val="00BC0C5F"/>
    <w:rsid w:val="00BC12BC"/>
    <w:rsid w:val="00BC15C5"/>
    <w:rsid w:val="00BC1A9B"/>
    <w:rsid w:val="00BC1F5A"/>
    <w:rsid w:val="00BC3047"/>
    <w:rsid w:val="00BC3DD1"/>
    <w:rsid w:val="00BC3E6B"/>
    <w:rsid w:val="00BC4F90"/>
    <w:rsid w:val="00BC53E1"/>
    <w:rsid w:val="00BC577C"/>
    <w:rsid w:val="00BC594C"/>
    <w:rsid w:val="00BC6262"/>
    <w:rsid w:val="00BD0030"/>
    <w:rsid w:val="00BD00C7"/>
    <w:rsid w:val="00BD133D"/>
    <w:rsid w:val="00BD1B1E"/>
    <w:rsid w:val="00BD231C"/>
    <w:rsid w:val="00BD25F6"/>
    <w:rsid w:val="00BD26CE"/>
    <w:rsid w:val="00BD32CB"/>
    <w:rsid w:val="00BD35BA"/>
    <w:rsid w:val="00BD4029"/>
    <w:rsid w:val="00BD4118"/>
    <w:rsid w:val="00BD4D53"/>
    <w:rsid w:val="00BD51F9"/>
    <w:rsid w:val="00BD5683"/>
    <w:rsid w:val="00BD5AF1"/>
    <w:rsid w:val="00BD6B38"/>
    <w:rsid w:val="00BD7738"/>
    <w:rsid w:val="00BD7A3A"/>
    <w:rsid w:val="00BD7F17"/>
    <w:rsid w:val="00BE0093"/>
    <w:rsid w:val="00BE0CF4"/>
    <w:rsid w:val="00BE0F49"/>
    <w:rsid w:val="00BE1213"/>
    <w:rsid w:val="00BE20F8"/>
    <w:rsid w:val="00BE2190"/>
    <w:rsid w:val="00BE3316"/>
    <w:rsid w:val="00BE4309"/>
    <w:rsid w:val="00BE5029"/>
    <w:rsid w:val="00BE537A"/>
    <w:rsid w:val="00BE5704"/>
    <w:rsid w:val="00BE598D"/>
    <w:rsid w:val="00BE5B9B"/>
    <w:rsid w:val="00BE5BBF"/>
    <w:rsid w:val="00BE625A"/>
    <w:rsid w:val="00BE62F9"/>
    <w:rsid w:val="00BF08E0"/>
    <w:rsid w:val="00BF0B50"/>
    <w:rsid w:val="00BF0C6F"/>
    <w:rsid w:val="00BF129F"/>
    <w:rsid w:val="00BF1E68"/>
    <w:rsid w:val="00BF3F3E"/>
    <w:rsid w:val="00BF4247"/>
    <w:rsid w:val="00BF456A"/>
    <w:rsid w:val="00BF46E8"/>
    <w:rsid w:val="00BF4C2D"/>
    <w:rsid w:val="00BF4CFD"/>
    <w:rsid w:val="00BF5DA6"/>
    <w:rsid w:val="00BF60B5"/>
    <w:rsid w:val="00BF6365"/>
    <w:rsid w:val="00BF6381"/>
    <w:rsid w:val="00BF7017"/>
    <w:rsid w:val="00BF71BC"/>
    <w:rsid w:val="00BF7410"/>
    <w:rsid w:val="00BF7A43"/>
    <w:rsid w:val="00C0007A"/>
    <w:rsid w:val="00C01310"/>
    <w:rsid w:val="00C0256F"/>
    <w:rsid w:val="00C025DC"/>
    <w:rsid w:val="00C028E1"/>
    <w:rsid w:val="00C02ADD"/>
    <w:rsid w:val="00C030F4"/>
    <w:rsid w:val="00C041F6"/>
    <w:rsid w:val="00C04848"/>
    <w:rsid w:val="00C04ECB"/>
    <w:rsid w:val="00C054A4"/>
    <w:rsid w:val="00C059A7"/>
    <w:rsid w:val="00C05B8F"/>
    <w:rsid w:val="00C05E08"/>
    <w:rsid w:val="00C060E5"/>
    <w:rsid w:val="00C06250"/>
    <w:rsid w:val="00C07456"/>
    <w:rsid w:val="00C07593"/>
    <w:rsid w:val="00C079BB"/>
    <w:rsid w:val="00C07EEF"/>
    <w:rsid w:val="00C07F21"/>
    <w:rsid w:val="00C07FF5"/>
    <w:rsid w:val="00C10213"/>
    <w:rsid w:val="00C106D6"/>
    <w:rsid w:val="00C107A5"/>
    <w:rsid w:val="00C10CBC"/>
    <w:rsid w:val="00C12A9D"/>
    <w:rsid w:val="00C1308F"/>
    <w:rsid w:val="00C13BFC"/>
    <w:rsid w:val="00C141D3"/>
    <w:rsid w:val="00C1429F"/>
    <w:rsid w:val="00C152BC"/>
    <w:rsid w:val="00C15388"/>
    <w:rsid w:val="00C15871"/>
    <w:rsid w:val="00C16989"/>
    <w:rsid w:val="00C16B5D"/>
    <w:rsid w:val="00C16B5F"/>
    <w:rsid w:val="00C16BDA"/>
    <w:rsid w:val="00C16CDA"/>
    <w:rsid w:val="00C171DB"/>
    <w:rsid w:val="00C17B95"/>
    <w:rsid w:val="00C20E5F"/>
    <w:rsid w:val="00C20F2E"/>
    <w:rsid w:val="00C216A7"/>
    <w:rsid w:val="00C21F45"/>
    <w:rsid w:val="00C224DC"/>
    <w:rsid w:val="00C225B2"/>
    <w:rsid w:val="00C22C5C"/>
    <w:rsid w:val="00C230E1"/>
    <w:rsid w:val="00C2420F"/>
    <w:rsid w:val="00C24583"/>
    <w:rsid w:val="00C245F2"/>
    <w:rsid w:val="00C24BF5"/>
    <w:rsid w:val="00C24CC9"/>
    <w:rsid w:val="00C24E43"/>
    <w:rsid w:val="00C2530A"/>
    <w:rsid w:val="00C2545B"/>
    <w:rsid w:val="00C25AFF"/>
    <w:rsid w:val="00C25B7A"/>
    <w:rsid w:val="00C2652D"/>
    <w:rsid w:val="00C31097"/>
    <w:rsid w:val="00C310FC"/>
    <w:rsid w:val="00C31113"/>
    <w:rsid w:val="00C322B5"/>
    <w:rsid w:val="00C32364"/>
    <w:rsid w:val="00C32EDE"/>
    <w:rsid w:val="00C33B78"/>
    <w:rsid w:val="00C33E99"/>
    <w:rsid w:val="00C34A4F"/>
    <w:rsid w:val="00C34C6D"/>
    <w:rsid w:val="00C34E01"/>
    <w:rsid w:val="00C354BC"/>
    <w:rsid w:val="00C36751"/>
    <w:rsid w:val="00C369A8"/>
    <w:rsid w:val="00C372FC"/>
    <w:rsid w:val="00C37E2D"/>
    <w:rsid w:val="00C4019A"/>
    <w:rsid w:val="00C41676"/>
    <w:rsid w:val="00C417E7"/>
    <w:rsid w:val="00C41CF3"/>
    <w:rsid w:val="00C42CB1"/>
    <w:rsid w:val="00C433F4"/>
    <w:rsid w:val="00C437BB"/>
    <w:rsid w:val="00C44738"/>
    <w:rsid w:val="00C44D8F"/>
    <w:rsid w:val="00C45931"/>
    <w:rsid w:val="00C45D0D"/>
    <w:rsid w:val="00C45E43"/>
    <w:rsid w:val="00C4633A"/>
    <w:rsid w:val="00C46577"/>
    <w:rsid w:val="00C47106"/>
    <w:rsid w:val="00C473D8"/>
    <w:rsid w:val="00C47945"/>
    <w:rsid w:val="00C50E5C"/>
    <w:rsid w:val="00C51D6A"/>
    <w:rsid w:val="00C51E97"/>
    <w:rsid w:val="00C52129"/>
    <w:rsid w:val="00C52C9C"/>
    <w:rsid w:val="00C53469"/>
    <w:rsid w:val="00C5357F"/>
    <w:rsid w:val="00C53A6E"/>
    <w:rsid w:val="00C545CB"/>
    <w:rsid w:val="00C546CB"/>
    <w:rsid w:val="00C54965"/>
    <w:rsid w:val="00C55387"/>
    <w:rsid w:val="00C5557D"/>
    <w:rsid w:val="00C55835"/>
    <w:rsid w:val="00C56281"/>
    <w:rsid w:val="00C56B72"/>
    <w:rsid w:val="00C5739E"/>
    <w:rsid w:val="00C57FEF"/>
    <w:rsid w:val="00C60446"/>
    <w:rsid w:val="00C61C05"/>
    <w:rsid w:val="00C622B6"/>
    <w:rsid w:val="00C6272A"/>
    <w:rsid w:val="00C63402"/>
    <w:rsid w:val="00C636B1"/>
    <w:rsid w:val="00C63AB1"/>
    <w:rsid w:val="00C63F0A"/>
    <w:rsid w:val="00C6486D"/>
    <w:rsid w:val="00C64CE9"/>
    <w:rsid w:val="00C669CB"/>
    <w:rsid w:val="00C66C28"/>
    <w:rsid w:val="00C66C45"/>
    <w:rsid w:val="00C66FED"/>
    <w:rsid w:val="00C67D3A"/>
    <w:rsid w:val="00C700B0"/>
    <w:rsid w:val="00C706F5"/>
    <w:rsid w:val="00C70E3B"/>
    <w:rsid w:val="00C711CC"/>
    <w:rsid w:val="00C718BF"/>
    <w:rsid w:val="00C727DB"/>
    <w:rsid w:val="00C73AA5"/>
    <w:rsid w:val="00C742AC"/>
    <w:rsid w:val="00C751F1"/>
    <w:rsid w:val="00C76889"/>
    <w:rsid w:val="00C76A00"/>
    <w:rsid w:val="00C76F1E"/>
    <w:rsid w:val="00C76FBA"/>
    <w:rsid w:val="00C77284"/>
    <w:rsid w:val="00C77D30"/>
    <w:rsid w:val="00C81037"/>
    <w:rsid w:val="00C8155D"/>
    <w:rsid w:val="00C81D1F"/>
    <w:rsid w:val="00C820BA"/>
    <w:rsid w:val="00C83111"/>
    <w:rsid w:val="00C83456"/>
    <w:rsid w:val="00C834F5"/>
    <w:rsid w:val="00C8398D"/>
    <w:rsid w:val="00C83AFA"/>
    <w:rsid w:val="00C845AB"/>
    <w:rsid w:val="00C856AE"/>
    <w:rsid w:val="00C85803"/>
    <w:rsid w:val="00C859A6"/>
    <w:rsid w:val="00C85D8E"/>
    <w:rsid w:val="00C879C3"/>
    <w:rsid w:val="00C9026C"/>
    <w:rsid w:val="00C90A2F"/>
    <w:rsid w:val="00C90D85"/>
    <w:rsid w:val="00C91FB0"/>
    <w:rsid w:val="00C929AB"/>
    <w:rsid w:val="00C92C49"/>
    <w:rsid w:val="00C92D77"/>
    <w:rsid w:val="00C94173"/>
    <w:rsid w:val="00C9431E"/>
    <w:rsid w:val="00C946A6"/>
    <w:rsid w:val="00C946EA"/>
    <w:rsid w:val="00C9686F"/>
    <w:rsid w:val="00C96896"/>
    <w:rsid w:val="00C96C07"/>
    <w:rsid w:val="00C97440"/>
    <w:rsid w:val="00C97566"/>
    <w:rsid w:val="00C976D1"/>
    <w:rsid w:val="00C97FAB"/>
    <w:rsid w:val="00CA0116"/>
    <w:rsid w:val="00CA0848"/>
    <w:rsid w:val="00CA0F52"/>
    <w:rsid w:val="00CA1081"/>
    <w:rsid w:val="00CA137C"/>
    <w:rsid w:val="00CA15FE"/>
    <w:rsid w:val="00CA1771"/>
    <w:rsid w:val="00CA2661"/>
    <w:rsid w:val="00CA2A2B"/>
    <w:rsid w:val="00CA3ABE"/>
    <w:rsid w:val="00CA412E"/>
    <w:rsid w:val="00CA4AE4"/>
    <w:rsid w:val="00CA4DE1"/>
    <w:rsid w:val="00CA4F97"/>
    <w:rsid w:val="00CA4FA1"/>
    <w:rsid w:val="00CA5E28"/>
    <w:rsid w:val="00CA60C8"/>
    <w:rsid w:val="00CA6238"/>
    <w:rsid w:val="00CA63DE"/>
    <w:rsid w:val="00CA663A"/>
    <w:rsid w:val="00CA6875"/>
    <w:rsid w:val="00CA71BA"/>
    <w:rsid w:val="00CA7263"/>
    <w:rsid w:val="00CA72BD"/>
    <w:rsid w:val="00CB0288"/>
    <w:rsid w:val="00CB0457"/>
    <w:rsid w:val="00CB1265"/>
    <w:rsid w:val="00CB30AE"/>
    <w:rsid w:val="00CB31AA"/>
    <w:rsid w:val="00CB36C9"/>
    <w:rsid w:val="00CB372C"/>
    <w:rsid w:val="00CB37BE"/>
    <w:rsid w:val="00CB443E"/>
    <w:rsid w:val="00CB4775"/>
    <w:rsid w:val="00CB516E"/>
    <w:rsid w:val="00CB5531"/>
    <w:rsid w:val="00CB6B8A"/>
    <w:rsid w:val="00CB715B"/>
    <w:rsid w:val="00CC0F67"/>
    <w:rsid w:val="00CC183C"/>
    <w:rsid w:val="00CC25AD"/>
    <w:rsid w:val="00CC28AC"/>
    <w:rsid w:val="00CC30C7"/>
    <w:rsid w:val="00CC34D7"/>
    <w:rsid w:val="00CC39AF"/>
    <w:rsid w:val="00CC3C8E"/>
    <w:rsid w:val="00CC3FAA"/>
    <w:rsid w:val="00CC61F0"/>
    <w:rsid w:val="00CC62BF"/>
    <w:rsid w:val="00CC63F5"/>
    <w:rsid w:val="00CC69B4"/>
    <w:rsid w:val="00CC729D"/>
    <w:rsid w:val="00CC7412"/>
    <w:rsid w:val="00CC7D13"/>
    <w:rsid w:val="00CC7E85"/>
    <w:rsid w:val="00CD0E73"/>
    <w:rsid w:val="00CD19AC"/>
    <w:rsid w:val="00CD1AC0"/>
    <w:rsid w:val="00CD2F41"/>
    <w:rsid w:val="00CD2FE6"/>
    <w:rsid w:val="00CD34C4"/>
    <w:rsid w:val="00CD3838"/>
    <w:rsid w:val="00CD39BD"/>
    <w:rsid w:val="00CD3F8D"/>
    <w:rsid w:val="00CD4DDA"/>
    <w:rsid w:val="00CD4FE3"/>
    <w:rsid w:val="00CD527C"/>
    <w:rsid w:val="00CD640D"/>
    <w:rsid w:val="00CD6F63"/>
    <w:rsid w:val="00CD7BC4"/>
    <w:rsid w:val="00CE05E8"/>
    <w:rsid w:val="00CE07FE"/>
    <w:rsid w:val="00CE0841"/>
    <w:rsid w:val="00CE0847"/>
    <w:rsid w:val="00CE0B04"/>
    <w:rsid w:val="00CE0D4D"/>
    <w:rsid w:val="00CE165E"/>
    <w:rsid w:val="00CE2093"/>
    <w:rsid w:val="00CE222A"/>
    <w:rsid w:val="00CE603A"/>
    <w:rsid w:val="00CE6439"/>
    <w:rsid w:val="00CE64D8"/>
    <w:rsid w:val="00CE70CD"/>
    <w:rsid w:val="00CE72A4"/>
    <w:rsid w:val="00CE74A0"/>
    <w:rsid w:val="00CE7F1A"/>
    <w:rsid w:val="00CF051F"/>
    <w:rsid w:val="00CF0601"/>
    <w:rsid w:val="00CF0DBE"/>
    <w:rsid w:val="00CF0FE7"/>
    <w:rsid w:val="00CF1661"/>
    <w:rsid w:val="00CF2439"/>
    <w:rsid w:val="00CF2B3C"/>
    <w:rsid w:val="00CF3046"/>
    <w:rsid w:val="00CF3354"/>
    <w:rsid w:val="00CF3B1B"/>
    <w:rsid w:val="00CF3DBD"/>
    <w:rsid w:val="00CF493A"/>
    <w:rsid w:val="00CF51F3"/>
    <w:rsid w:val="00CF64C3"/>
    <w:rsid w:val="00CF7B7F"/>
    <w:rsid w:val="00CF7B9F"/>
    <w:rsid w:val="00D000C9"/>
    <w:rsid w:val="00D005D1"/>
    <w:rsid w:val="00D007C0"/>
    <w:rsid w:val="00D007DC"/>
    <w:rsid w:val="00D01233"/>
    <w:rsid w:val="00D015BF"/>
    <w:rsid w:val="00D01B85"/>
    <w:rsid w:val="00D01FFA"/>
    <w:rsid w:val="00D020C7"/>
    <w:rsid w:val="00D02106"/>
    <w:rsid w:val="00D02A00"/>
    <w:rsid w:val="00D02AE5"/>
    <w:rsid w:val="00D03D54"/>
    <w:rsid w:val="00D03DD5"/>
    <w:rsid w:val="00D04E0A"/>
    <w:rsid w:val="00D05E7D"/>
    <w:rsid w:val="00D06D2D"/>
    <w:rsid w:val="00D07650"/>
    <w:rsid w:val="00D07BC4"/>
    <w:rsid w:val="00D07E9F"/>
    <w:rsid w:val="00D124F0"/>
    <w:rsid w:val="00D13B2B"/>
    <w:rsid w:val="00D13CD5"/>
    <w:rsid w:val="00D14080"/>
    <w:rsid w:val="00D1419F"/>
    <w:rsid w:val="00D14652"/>
    <w:rsid w:val="00D1467F"/>
    <w:rsid w:val="00D14E77"/>
    <w:rsid w:val="00D14F83"/>
    <w:rsid w:val="00D15004"/>
    <w:rsid w:val="00D150B4"/>
    <w:rsid w:val="00D16AA3"/>
    <w:rsid w:val="00D16CA8"/>
    <w:rsid w:val="00D17247"/>
    <w:rsid w:val="00D1739C"/>
    <w:rsid w:val="00D1739E"/>
    <w:rsid w:val="00D175FA"/>
    <w:rsid w:val="00D20955"/>
    <w:rsid w:val="00D20FE1"/>
    <w:rsid w:val="00D21169"/>
    <w:rsid w:val="00D2127B"/>
    <w:rsid w:val="00D22ECD"/>
    <w:rsid w:val="00D23112"/>
    <w:rsid w:val="00D238E3"/>
    <w:rsid w:val="00D23A96"/>
    <w:rsid w:val="00D23F4C"/>
    <w:rsid w:val="00D2412B"/>
    <w:rsid w:val="00D242F0"/>
    <w:rsid w:val="00D2474D"/>
    <w:rsid w:val="00D249B5"/>
    <w:rsid w:val="00D24C9E"/>
    <w:rsid w:val="00D25110"/>
    <w:rsid w:val="00D25672"/>
    <w:rsid w:val="00D2658D"/>
    <w:rsid w:val="00D270DE"/>
    <w:rsid w:val="00D27CD0"/>
    <w:rsid w:val="00D27E52"/>
    <w:rsid w:val="00D30C05"/>
    <w:rsid w:val="00D30CB1"/>
    <w:rsid w:val="00D317C0"/>
    <w:rsid w:val="00D31827"/>
    <w:rsid w:val="00D31BF8"/>
    <w:rsid w:val="00D323C2"/>
    <w:rsid w:val="00D32889"/>
    <w:rsid w:val="00D32C01"/>
    <w:rsid w:val="00D32E51"/>
    <w:rsid w:val="00D33020"/>
    <w:rsid w:val="00D3312F"/>
    <w:rsid w:val="00D33935"/>
    <w:rsid w:val="00D339B9"/>
    <w:rsid w:val="00D33DB3"/>
    <w:rsid w:val="00D34959"/>
    <w:rsid w:val="00D34E82"/>
    <w:rsid w:val="00D3535D"/>
    <w:rsid w:val="00D35546"/>
    <w:rsid w:val="00D35748"/>
    <w:rsid w:val="00D35DBA"/>
    <w:rsid w:val="00D36AAB"/>
    <w:rsid w:val="00D3719C"/>
    <w:rsid w:val="00D377FF"/>
    <w:rsid w:val="00D40032"/>
    <w:rsid w:val="00D406A1"/>
    <w:rsid w:val="00D406B3"/>
    <w:rsid w:val="00D40F30"/>
    <w:rsid w:val="00D41C0E"/>
    <w:rsid w:val="00D423CC"/>
    <w:rsid w:val="00D4259C"/>
    <w:rsid w:val="00D426F4"/>
    <w:rsid w:val="00D42921"/>
    <w:rsid w:val="00D42C9D"/>
    <w:rsid w:val="00D430A1"/>
    <w:rsid w:val="00D435D3"/>
    <w:rsid w:val="00D43F8D"/>
    <w:rsid w:val="00D44462"/>
    <w:rsid w:val="00D44509"/>
    <w:rsid w:val="00D45BC3"/>
    <w:rsid w:val="00D45D84"/>
    <w:rsid w:val="00D47518"/>
    <w:rsid w:val="00D47730"/>
    <w:rsid w:val="00D50954"/>
    <w:rsid w:val="00D50C64"/>
    <w:rsid w:val="00D50C7D"/>
    <w:rsid w:val="00D5176F"/>
    <w:rsid w:val="00D519CE"/>
    <w:rsid w:val="00D524FD"/>
    <w:rsid w:val="00D5389E"/>
    <w:rsid w:val="00D53B9E"/>
    <w:rsid w:val="00D55512"/>
    <w:rsid w:val="00D55998"/>
    <w:rsid w:val="00D55A8F"/>
    <w:rsid w:val="00D55F9D"/>
    <w:rsid w:val="00D56107"/>
    <w:rsid w:val="00D56831"/>
    <w:rsid w:val="00D56AA6"/>
    <w:rsid w:val="00D57325"/>
    <w:rsid w:val="00D6029E"/>
    <w:rsid w:val="00D603DE"/>
    <w:rsid w:val="00D606D6"/>
    <w:rsid w:val="00D60A94"/>
    <w:rsid w:val="00D60F23"/>
    <w:rsid w:val="00D616BD"/>
    <w:rsid w:val="00D61B26"/>
    <w:rsid w:val="00D61DF2"/>
    <w:rsid w:val="00D62309"/>
    <w:rsid w:val="00D62E70"/>
    <w:rsid w:val="00D62FE3"/>
    <w:rsid w:val="00D64BC8"/>
    <w:rsid w:val="00D64D93"/>
    <w:rsid w:val="00D6568A"/>
    <w:rsid w:val="00D661CC"/>
    <w:rsid w:val="00D666DF"/>
    <w:rsid w:val="00D667DA"/>
    <w:rsid w:val="00D66A47"/>
    <w:rsid w:val="00D66DAF"/>
    <w:rsid w:val="00D67010"/>
    <w:rsid w:val="00D676D0"/>
    <w:rsid w:val="00D67C39"/>
    <w:rsid w:val="00D704FF"/>
    <w:rsid w:val="00D712D2"/>
    <w:rsid w:val="00D71977"/>
    <w:rsid w:val="00D71AF2"/>
    <w:rsid w:val="00D72662"/>
    <w:rsid w:val="00D73FB4"/>
    <w:rsid w:val="00D747F0"/>
    <w:rsid w:val="00D75860"/>
    <w:rsid w:val="00D76753"/>
    <w:rsid w:val="00D76C3E"/>
    <w:rsid w:val="00D76FE5"/>
    <w:rsid w:val="00D76FF6"/>
    <w:rsid w:val="00D778F3"/>
    <w:rsid w:val="00D80420"/>
    <w:rsid w:val="00D8056D"/>
    <w:rsid w:val="00D80C92"/>
    <w:rsid w:val="00D812DD"/>
    <w:rsid w:val="00D822CD"/>
    <w:rsid w:val="00D823CF"/>
    <w:rsid w:val="00D8278B"/>
    <w:rsid w:val="00D82796"/>
    <w:rsid w:val="00D8285E"/>
    <w:rsid w:val="00D839C3"/>
    <w:rsid w:val="00D83E8A"/>
    <w:rsid w:val="00D83F25"/>
    <w:rsid w:val="00D840A3"/>
    <w:rsid w:val="00D85230"/>
    <w:rsid w:val="00D8562D"/>
    <w:rsid w:val="00D85836"/>
    <w:rsid w:val="00D8620F"/>
    <w:rsid w:val="00D8666F"/>
    <w:rsid w:val="00D86F16"/>
    <w:rsid w:val="00D86FC5"/>
    <w:rsid w:val="00D870D7"/>
    <w:rsid w:val="00D872AA"/>
    <w:rsid w:val="00D90382"/>
    <w:rsid w:val="00D9073C"/>
    <w:rsid w:val="00D908C9"/>
    <w:rsid w:val="00D908CF"/>
    <w:rsid w:val="00D9092B"/>
    <w:rsid w:val="00D90A16"/>
    <w:rsid w:val="00D91A81"/>
    <w:rsid w:val="00D91E19"/>
    <w:rsid w:val="00D9282E"/>
    <w:rsid w:val="00D92D58"/>
    <w:rsid w:val="00D92D79"/>
    <w:rsid w:val="00D92E66"/>
    <w:rsid w:val="00D931FD"/>
    <w:rsid w:val="00D9379D"/>
    <w:rsid w:val="00D94314"/>
    <w:rsid w:val="00D9458E"/>
    <w:rsid w:val="00D94AC7"/>
    <w:rsid w:val="00D96D91"/>
    <w:rsid w:val="00D97057"/>
    <w:rsid w:val="00DA0949"/>
    <w:rsid w:val="00DA0E40"/>
    <w:rsid w:val="00DA11EF"/>
    <w:rsid w:val="00DA140F"/>
    <w:rsid w:val="00DA325B"/>
    <w:rsid w:val="00DA3440"/>
    <w:rsid w:val="00DA3445"/>
    <w:rsid w:val="00DA3830"/>
    <w:rsid w:val="00DA3D9C"/>
    <w:rsid w:val="00DA45A0"/>
    <w:rsid w:val="00DA4EC4"/>
    <w:rsid w:val="00DA5102"/>
    <w:rsid w:val="00DA6D0D"/>
    <w:rsid w:val="00DA6D44"/>
    <w:rsid w:val="00DA6F02"/>
    <w:rsid w:val="00DA70A6"/>
    <w:rsid w:val="00DA70F3"/>
    <w:rsid w:val="00DA7611"/>
    <w:rsid w:val="00DA7770"/>
    <w:rsid w:val="00DB03F9"/>
    <w:rsid w:val="00DB04C1"/>
    <w:rsid w:val="00DB05F8"/>
    <w:rsid w:val="00DB0CB0"/>
    <w:rsid w:val="00DB1386"/>
    <w:rsid w:val="00DB22D5"/>
    <w:rsid w:val="00DB2DAB"/>
    <w:rsid w:val="00DB3422"/>
    <w:rsid w:val="00DB4712"/>
    <w:rsid w:val="00DB4C7F"/>
    <w:rsid w:val="00DB4FFD"/>
    <w:rsid w:val="00DB6289"/>
    <w:rsid w:val="00DB6547"/>
    <w:rsid w:val="00DB69EC"/>
    <w:rsid w:val="00DB70F5"/>
    <w:rsid w:val="00DB79AD"/>
    <w:rsid w:val="00DC054D"/>
    <w:rsid w:val="00DC0752"/>
    <w:rsid w:val="00DC07A7"/>
    <w:rsid w:val="00DC0ABF"/>
    <w:rsid w:val="00DC17D5"/>
    <w:rsid w:val="00DC19EB"/>
    <w:rsid w:val="00DC1A1B"/>
    <w:rsid w:val="00DC1A21"/>
    <w:rsid w:val="00DC1C60"/>
    <w:rsid w:val="00DC1F24"/>
    <w:rsid w:val="00DC245F"/>
    <w:rsid w:val="00DC3118"/>
    <w:rsid w:val="00DC375B"/>
    <w:rsid w:val="00DC48B4"/>
    <w:rsid w:val="00DC4956"/>
    <w:rsid w:val="00DC4F84"/>
    <w:rsid w:val="00DC52F7"/>
    <w:rsid w:val="00DC5BE2"/>
    <w:rsid w:val="00DC63D4"/>
    <w:rsid w:val="00DC64DB"/>
    <w:rsid w:val="00DC72AF"/>
    <w:rsid w:val="00DC774A"/>
    <w:rsid w:val="00DC77C2"/>
    <w:rsid w:val="00DD06A8"/>
    <w:rsid w:val="00DD1017"/>
    <w:rsid w:val="00DD137C"/>
    <w:rsid w:val="00DD1C4A"/>
    <w:rsid w:val="00DD1E81"/>
    <w:rsid w:val="00DD2021"/>
    <w:rsid w:val="00DD21CB"/>
    <w:rsid w:val="00DD26C1"/>
    <w:rsid w:val="00DD2862"/>
    <w:rsid w:val="00DD454B"/>
    <w:rsid w:val="00DD45BE"/>
    <w:rsid w:val="00DD5D12"/>
    <w:rsid w:val="00DD622F"/>
    <w:rsid w:val="00DD7B2B"/>
    <w:rsid w:val="00DE0129"/>
    <w:rsid w:val="00DE07D3"/>
    <w:rsid w:val="00DE17AE"/>
    <w:rsid w:val="00DE1980"/>
    <w:rsid w:val="00DE1986"/>
    <w:rsid w:val="00DE1F88"/>
    <w:rsid w:val="00DE21D4"/>
    <w:rsid w:val="00DE295F"/>
    <w:rsid w:val="00DE2F86"/>
    <w:rsid w:val="00DE3727"/>
    <w:rsid w:val="00DE46CC"/>
    <w:rsid w:val="00DE4B4D"/>
    <w:rsid w:val="00DE57F8"/>
    <w:rsid w:val="00DE5982"/>
    <w:rsid w:val="00DE5CE3"/>
    <w:rsid w:val="00DE6B2C"/>
    <w:rsid w:val="00DE72B9"/>
    <w:rsid w:val="00DE7ED1"/>
    <w:rsid w:val="00DF017B"/>
    <w:rsid w:val="00DF09E7"/>
    <w:rsid w:val="00DF0C01"/>
    <w:rsid w:val="00DF1448"/>
    <w:rsid w:val="00DF17C0"/>
    <w:rsid w:val="00DF1868"/>
    <w:rsid w:val="00DF2366"/>
    <w:rsid w:val="00DF273D"/>
    <w:rsid w:val="00DF2C34"/>
    <w:rsid w:val="00DF2D3F"/>
    <w:rsid w:val="00DF2F3D"/>
    <w:rsid w:val="00DF39C9"/>
    <w:rsid w:val="00DF458C"/>
    <w:rsid w:val="00DF4F8F"/>
    <w:rsid w:val="00DF5546"/>
    <w:rsid w:val="00DF599B"/>
    <w:rsid w:val="00DF5EBC"/>
    <w:rsid w:val="00DF608A"/>
    <w:rsid w:val="00DF669C"/>
    <w:rsid w:val="00DF70A1"/>
    <w:rsid w:val="00DF74C9"/>
    <w:rsid w:val="00E00623"/>
    <w:rsid w:val="00E00A19"/>
    <w:rsid w:val="00E00C62"/>
    <w:rsid w:val="00E011F3"/>
    <w:rsid w:val="00E01915"/>
    <w:rsid w:val="00E01F51"/>
    <w:rsid w:val="00E032CE"/>
    <w:rsid w:val="00E0386C"/>
    <w:rsid w:val="00E038C4"/>
    <w:rsid w:val="00E047AF"/>
    <w:rsid w:val="00E04D0E"/>
    <w:rsid w:val="00E0512C"/>
    <w:rsid w:val="00E052AA"/>
    <w:rsid w:val="00E055A1"/>
    <w:rsid w:val="00E05DF2"/>
    <w:rsid w:val="00E06007"/>
    <w:rsid w:val="00E075B3"/>
    <w:rsid w:val="00E078D0"/>
    <w:rsid w:val="00E07A37"/>
    <w:rsid w:val="00E07E74"/>
    <w:rsid w:val="00E07F33"/>
    <w:rsid w:val="00E07F9C"/>
    <w:rsid w:val="00E101A3"/>
    <w:rsid w:val="00E107AC"/>
    <w:rsid w:val="00E11B38"/>
    <w:rsid w:val="00E11EFB"/>
    <w:rsid w:val="00E12117"/>
    <w:rsid w:val="00E12B43"/>
    <w:rsid w:val="00E13625"/>
    <w:rsid w:val="00E143D2"/>
    <w:rsid w:val="00E14490"/>
    <w:rsid w:val="00E145D6"/>
    <w:rsid w:val="00E14C3A"/>
    <w:rsid w:val="00E15250"/>
    <w:rsid w:val="00E157A1"/>
    <w:rsid w:val="00E157EA"/>
    <w:rsid w:val="00E159A1"/>
    <w:rsid w:val="00E15AD1"/>
    <w:rsid w:val="00E16837"/>
    <w:rsid w:val="00E16C9E"/>
    <w:rsid w:val="00E16CD7"/>
    <w:rsid w:val="00E16FAB"/>
    <w:rsid w:val="00E1707C"/>
    <w:rsid w:val="00E1743D"/>
    <w:rsid w:val="00E1749D"/>
    <w:rsid w:val="00E17887"/>
    <w:rsid w:val="00E17D64"/>
    <w:rsid w:val="00E17E40"/>
    <w:rsid w:val="00E17FBE"/>
    <w:rsid w:val="00E203F0"/>
    <w:rsid w:val="00E215B5"/>
    <w:rsid w:val="00E226D2"/>
    <w:rsid w:val="00E22FDD"/>
    <w:rsid w:val="00E23596"/>
    <w:rsid w:val="00E237FA"/>
    <w:rsid w:val="00E24443"/>
    <w:rsid w:val="00E246C3"/>
    <w:rsid w:val="00E2492E"/>
    <w:rsid w:val="00E249A5"/>
    <w:rsid w:val="00E24EFA"/>
    <w:rsid w:val="00E25AA1"/>
    <w:rsid w:val="00E266E8"/>
    <w:rsid w:val="00E26B67"/>
    <w:rsid w:val="00E270A3"/>
    <w:rsid w:val="00E279A3"/>
    <w:rsid w:val="00E30851"/>
    <w:rsid w:val="00E30B75"/>
    <w:rsid w:val="00E3161B"/>
    <w:rsid w:val="00E3167D"/>
    <w:rsid w:val="00E31C30"/>
    <w:rsid w:val="00E31F8E"/>
    <w:rsid w:val="00E325AE"/>
    <w:rsid w:val="00E326AE"/>
    <w:rsid w:val="00E330B9"/>
    <w:rsid w:val="00E33374"/>
    <w:rsid w:val="00E33F4C"/>
    <w:rsid w:val="00E34191"/>
    <w:rsid w:val="00E34342"/>
    <w:rsid w:val="00E34F62"/>
    <w:rsid w:val="00E352D8"/>
    <w:rsid w:val="00E37080"/>
    <w:rsid w:val="00E379CC"/>
    <w:rsid w:val="00E37AEE"/>
    <w:rsid w:val="00E37BE3"/>
    <w:rsid w:val="00E37C11"/>
    <w:rsid w:val="00E40107"/>
    <w:rsid w:val="00E40E5E"/>
    <w:rsid w:val="00E4111E"/>
    <w:rsid w:val="00E415BB"/>
    <w:rsid w:val="00E419D3"/>
    <w:rsid w:val="00E41AFA"/>
    <w:rsid w:val="00E42105"/>
    <w:rsid w:val="00E4258A"/>
    <w:rsid w:val="00E42839"/>
    <w:rsid w:val="00E42890"/>
    <w:rsid w:val="00E42FEA"/>
    <w:rsid w:val="00E4384B"/>
    <w:rsid w:val="00E43B7C"/>
    <w:rsid w:val="00E43BF6"/>
    <w:rsid w:val="00E44133"/>
    <w:rsid w:val="00E442F5"/>
    <w:rsid w:val="00E448A8"/>
    <w:rsid w:val="00E44D8C"/>
    <w:rsid w:val="00E45F35"/>
    <w:rsid w:val="00E464BA"/>
    <w:rsid w:val="00E47031"/>
    <w:rsid w:val="00E477B3"/>
    <w:rsid w:val="00E477FE"/>
    <w:rsid w:val="00E47AF8"/>
    <w:rsid w:val="00E526A5"/>
    <w:rsid w:val="00E53E81"/>
    <w:rsid w:val="00E5401A"/>
    <w:rsid w:val="00E540EC"/>
    <w:rsid w:val="00E54CE5"/>
    <w:rsid w:val="00E555CE"/>
    <w:rsid w:val="00E55649"/>
    <w:rsid w:val="00E55906"/>
    <w:rsid w:val="00E560D4"/>
    <w:rsid w:val="00E56B65"/>
    <w:rsid w:val="00E56C7B"/>
    <w:rsid w:val="00E578BC"/>
    <w:rsid w:val="00E57AE5"/>
    <w:rsid w:val="00E60A7B"/>
    <w:rsid w:val="00E60E83"/>
    <w:rsid w:val="00E60F94"/>
    <w:rsid w:val="00E61443"/>
    <w:rsid w:val="00E61445"/>
    <w:rsid w:val="00E620D0"/>
    <w:rsid w:val="00E6379E"/>
    <w:rsid w:val="00E63D09"/>
    <w:rsid w:val="00E6456A"/>
    <w:rsid w:val="00E64AD2"/>
    <w:rsid w:val="00E64D8C"/>
    <w:rsid w:val="00E64FA5"/>
    <w:rsid w:val="00E65EAA"/>
    <w:rsid w:val="00E66A21"/>
    <w:rsid w:val="00E66A5C"/>
    <w:rsid w:val="00E67961"/>
    <w:rsid w:val="00E7193D"/>
    <w:rsid w:val="00E71ADA"/>
    <w:rsid w:val="00E71BB3"/>
    <w:rsid w:val="00E725B1"/>
    <w:rsid w:val="00E73056"/>
    <w:rsid w:val="00E73A56"/>
    <w:rsid w:val="00E7411B"/>
    <w:rsid w:val="00E753D5"/>
    <w:rsid w:val="00E754EA"/>
    <w:rsid w:val="00E763EC"/>
    <w:rsid w:val="00E76658"/>
    <w:rsid w:val="00E7681F"/>
    <w:rsid w:val="00E76ED5"/>
    <w:rsid w:val="00E772E6"/>
    <w:rsid w:val="00E77EEB"/>
    <w:rsid w:val="00E80643"/>
    <w:rsid w:val="00E818D2"/>
    <w:rsid w:val="00E81E9A"/>
    <w:rsid w:val="00E824C3"/>
    <w:rsid w:val="00E8271C"/>
    <w:rsid w:val="00E82DD6"/>
    <w:rsid w:val="00E82F20"/>
    <w:rsid w:val="00E83386"/>
    <w:rsid w:val="00E84707"/>
    <w:rsid w:val="00E84BB6"/>
    <w:rsid w:val="00E8513C"/>
    <w:rsid w:val="00E85DA5"/>
    <w:rsid w:val="00E86180"/>
    <w:rsid w:val="00E868EF"/>
    <w:rsid w:val="00E87259"/>
    <w:rsid w:val="00E87660"/>
    <w:rsid w:val="00E87697"/>
    <w:rsid w:val="00E87721"/>
    <w:rsid w:val="00E87BA4"/>
    <w:rsid w:val="00E90246"/>
    <w:rsid w:val="00E902EE"/>
    <w:rsid w:val="00E90896"/>
    <w:rsid w:val="00E90C2E"/>
    <w:rsid w:val="00E90D15"/>
    <w:rsid w:val="00E91510"/>
    <w:rsid w:val="00E91CA4"/>
    <w:rsid w:val="00E91FF6"/>
    <w:rsid w:val="00E92567"/>
    <w:rsid w:val="00E925BD"/>
    <w:rsid w:val="00E927D8"/>
    <w:rsid w:val="00E93269"/>
    <w:rsid w:val="00E93637"/>
    <w:rsid w:val="00E943FC"/>
    <w:rsid w:val="00E95DB8"/>
    <w:rsid w:val="00E964CC"/>
    <w:rsid w:val="00E96BDE"/>
    <w:rsid w:val="00E97827"/>
    <w:rsid w:val="00E97B29"/>
    <w:rsid w:val="00E97B5C"/>
    <w:rsid w:val="00EA0D83"/>
    <w:rsid w:val="00EA16EF"/>
    <w:rsid w:val="00EA1713"/>
    <w:rsid w:val="00EA1B6A"/>
    <w:rsid w:val="00EA1EA3"/>
    <w:rsid w:val="00EA2307"/>
    <w:rsid w:val="00EA2CEB"/>
    <w:rsid w:val="00EA3134"/>
    <w:rsid w:val="00EA3908"/>
    <w:rsid w:val="00EA4A86"/>
    <w:rsid w:val="00EA4B70"/>
    <w:rsid w:val="00EA5CD4"/>
    <w:rsid w:val="00EB01CD"/>
    <w:rsid w:val="00EB24EA"/>
    <w:rsid w:val="00EB372F"/>
    <w:rsid w:val="00EB3978"/>
    <w:rsid w:val="00EB4BDE"/>
    <w:rsid w:val="00EB560F"/>
    <w:rsid w:val="00EB5EFB"/>
    <w:rsid w:val="00EB611E"/>
    <w:rsid w:val="00EB7A4B"/>
    <w:rsid w:val="00EB7FF3"/>
    <w:rsid w:val="00EC030B"/>
    <w:rsid w:val="00EC0635"/>
    <w:rsid w:val="00EC0813"/>
    <w:rsid w:val="00EC08C4"/>
    <w:rsid w:val="00EC0B14"/>
    <w:rsid w:val="00EC0BAE"/>
    <w:rsid w:val="00EC16A1"/>
    <w:rsid w:val="00EC1AA3"/>
    <w:rsid w:val="00EC1FA2"/>
    <w:rsid w:val="00EC23C4"/>
    <w:rsid w:val="00EC3411"/>
    <w:rsid w:val="00EC3EC6"/>
    <w:rsid w:val="00EC4045"/>
    <w:rsid w:val="00EC4359"/>
    <w:rsid w:val="00EC53A7"/>
    <w:rsid w:val="00EC5747"/>
    <w:rsid w:val="00EC5A3F"/>
    <w:rsid w:val="00EC6115"/>
    <w:rsid w:val="00ED0733"/>
    <w:rsid w:val="00ED1473"/>
    <w:rsid w:val="00ED3D3D"/>
    <w:rsid w:val="00ED3EE7"/>
    <w:rsid w:val="00ED431F"/>
    <w:rsid w:val="00ED48C0"/>
    <w:rsid w:val="00ED4A25"/>
    <w:rsid w:val="00ED5B28"/>
    <w:rsid w:val="00ED6A52"/>
    <w:rsid w:val="00ED71FA"/>
    <w:rsid w:val="00EE0094"/>
    <w:rsid w:val="00EE05BA"/>
    <w:rsid w:val="00EE05CB"/>
    <w:rsid w:val="00EE07CA"/>
    <w:rsid w:val="00EE0FF4"/>
    <w:rsid w:val="00EE11D5"/>
    <w:rsid w:val="00EE133E"/>
    <w:rsid w:val="00EE2120"/>
    <w:rsid w:val="00EE23E6"/>
    <w:rsid w:val="00EE24E4"/>
    <w:rsid w:val="00EE27A4"/>
    <w:rsid w:val="00EE2EEE"/>
    <w:rsid w:val="00EE365B"/>
    <w:rsid w:val="00EE39EB"/>
    <w:rsid w:val="00EE3C6D"/>
    <w:rsid w:val="00EE4BD6"/>
    <w:rsid w:val="00EE4C62"/>
    <w:rsid w:val="00EE55C1"/>
    <w:rsid w:val="00EE5D6E"/>
    <w:rsid w:val="00EE5E18"/>
    <w:rsid w:val="00EE5FD1"/>
    <w:rsid w:val="00EE60FE"/>
    <w:rsid w:val="00EE64BF"/>
    <w:rsid w:val="00EE6DEB"/>
    <w:rsid w:val="00EE79BB"/>
    <w:rsid w:val="00EF0B0B"/>
    <w:rsid w:val="00EF0B83"/>
    <w:rsid w:val="00EF1149"/>
    <w:rsid w:val="00EF1A26"/>
    <w:rsid w:val="00EF2FC2"/>
    <w:rsid w:val="00EF308F"/>
    <w:rsid w:val="00EF3238"/>
    <w:rsid w:val="00EF376F"/>
    <w:rsid w:val="00EF3892"/>
    <w:rsid w:val="00EF3BE3"/>
    <w:rsid w:val="00EF3C9B"/>
    <w:rsid w:val="00EF3E1E"/>
    <w:rsid w:val="00EF42FE"/>
    <w:rsid w:val="00EF4F17"/>
    <w:rsid w:val="00EF5C56"/>
    <w:rsid w:val="00EF762C"/>
    <w:rsid w:val="00F00378"/>
    <w:rsid w:val="00F00E5A"/>
    <w:rsid w:val="00F0110E"/>
    <w:rsid w:val="00F01585"/>
    <w:rsid w:val="00F02026"/>
    <w:rsid w:val="00F02112"/>
    <w:rsid w:val="00F022F6"/>
    <w:rsid w:val="00F0230F"/>
    <w:rsid w:val="00F02528"/>
    <w:rsid w:val="00F02B45"/>
    <w:rsid w:val="00F02F18"/>
    <w:rsid w:val="00F030A3"/>
    <w:rsid w:val="00F03159"/>
    <w:rsid w:val="00F0363D"/>
    <w:rsid w:val="00F0367E"/>
    <w:rsid w:val="00F036E4"/>
    <w:rsid w:val="00F03EDA"/>
    <w:rsid w:val="00F04CC9"/>
    <w:rsid w:val="00F058F1"/>
    <w:rsid w:val="00F061FD"/>
    <w:rsid w:val="00F07CE9"/>
    <w:rsid w:val="00F1021C"/>
    <w:rsid w:val="00F1027E"/>
    <w:rsid w:val="00F10385"/>
    <w:rsid w:val="00F107AA"/>
    <w:rsid w:val="00F10FBD"/>
    <w:rsid w:val="00F11679"/>
    <w:rsid w:val="00F11844"/>
    <w:rsid w:val="00F121B1"/>
    <w:rsid w:val="00F1236B"/>
    <w:rsid w:val="00F129C4"/>
    <w:rsid w:val="00F12CE6"/>
    <w:rsid w:val="00F12EBC"/>
    <w:rsid w:val="00F1373C"/>
    <w:rsid w:val="00F1390A"/>
    <w:rsid w:val="00F13A2C"/>
    <w:rsid w:val="00F13C08"/>
    <w:rsid w:val="00F143F9"/>
    <w:rsid w:val="00F14E01"/>
    <w:rsid w:val="00F14F9C"/>
    <w:rsid w:val="00F15EDA"/>
    <w:rsid w:val="00F161D7"/>
    <w:rsid w:val="00F17510"/>
    <w:rsid w:val="00F17E24"/>
    <w:rsid w:val="00F21080"/>
    <w:rsid w:val="00F22A4F"/>
    <w:rsid w:val="00F22D77"/>
    <w:rsid w:val="00F234F4"/>
    <w:rsid w:val="00F237EA"/>
    <w:rsid w:val="00F238AD"/>
    <w:rsid w:val="00F23EC4"/>
    <w:rsid w:val="00F24044"/>
    <w:rsid w:val="00F243E0"/>
    <w:rsid w:val="00F25390"/>
    <w:rsid w:val="00F25430"/>
    <w:rsid w:val="00F2599F"/>
    <w:rsid w:val="00F25B39"/>
    <w:rsid w:val="00F26194"/>
    <w:rsid w:val="00F27094"/>
    <w:rsid w:val="00F27221"/>
    <w:rsid w:val="00F27417"/>
    <w:rsid w:val="00F2752A"/>
    <w:rsid w:val="00F30540"/>
    <w:rsid w:val="00F30551"/>
    <w:rsid w:val="00F30A5E"/>
    <w:rsid w:val="00F30D50"/>
    <w:rsid w:val="00F32109"/>
    <w:rsid w:val="00F32F8E"/>
    <w:rsid w:val="00F341ED"/>
    <w:rsid w:val="00F34D96"/>
    <w:rsid w:val="00F3648C"/>
    <w:rsid w:val="00F36597"/>
    <w:rsid w:val="00F3678F"/>
    <w:rsid w:val="00F367E3"/>
    <w:rsid w:val="00F40474"/>
    <w:rsid w:val="00F40E07"/>
    <w:rsid w:val="00F4171D"/>
    <w:rsid w:val="00F42990"/>
    <w:rsid w:val="00F42A93"/>
    <w:rsid w:val="00F42AE9"/>
    <w:rsid w:val="00F42DE6"/>
    <w:rsid w:val="00F435FF"/>
    <w:rsid w:val="00F445E8"/>
    <w:rsid w:val="00F447C6"/>
    <w:rsid w:val="00F44B16"/>
    <w:rsid w:val="00F45109"/>
    <w:rsid w:val="00F454F0"/>
    <w:rsid w:val="00F45965"/>
    <w:rsid w:val="00F46454"/>
    <w:rsid w:val="00F46557"/>
    <w:rsid w:val="00F4757C"/>
    <w:rsid w:val="00F47DD0"/>
    <w:rsid w:val="00F47E73"/>
    <w:rsid w:val="00F5005B"/>
    <w:rsid w:val="00F50A69"/>
    <w:rsid w:val="00F50A9C"/>
    <w:rsid w:val="00F51512"/>
    <w:rsid w:val="00F51C8E"/>
    <w:rsid w:val="00F52052"/>
    <w:rsid w:val="00F52F26"/>
    <w:rsid w:val="00F52F7F"/>
    <w:rsid w:val="00F5378A"/>
    <w:rsid w:val="00F539B7"/>
    <w:rsid w:val="00F54244"/>
    <w:rsid w:val="00F54377"/>
    <w:rsid w:val="00F55528"/>
    <w:rsid w:val="00F557D7"/>
    <w:rsid w:val="00F55F6B"/>
    <w:rsid w:val="00F569C4"/>
    <w:rsid w:val="00F57327"/>
    <w:rsid w:val="00F57508"/>
    <w:rsid w:val="00F57B26"/>
    <w:rsid w:val="00F57F0D"/>
    <w:rsid w:val="00F600CA"/>
    <w:rsid w:val="00F618F8"/>
    <w:rsid w:val="00F61B52"/>
    <w:rsid w:val="00F61B6D"/>
    <w:rsid w:val="00F61BCC"/>
    <w:rsid w:val="00F6230E"/>
    <w:rsid w:val="00F62D4F"/>
    <w:rsid w:val="00F62E8B"/>
    <w:rsid w:val="00F6441F"/>
    <w:rsid w:val="00F657D6"/>
    <w:rsid w:val="00F65DF8"/>
    <w:rsid w:val="00F6619B"/>
    <w:rsid w:val="00F662BF"/>
    <w:rsid w:val="00F66301"/>
    <w:rsid w:val="00F666D3"/>
    <w:rsid w:val="00F67E13"/>
    <w:rsid w:val="00F70238"/>
    <w:rsid w:val="00F70367"/>
    <w:rsid w:val="00F703D7"/>
    <w:rsid w:val="00F706DC"/>
    <w:rsid w:val="00F70847"/>
    <w:rsid w:val="00F7199F"/>
    <w:rsid w:val="00F7300A"/>
    <w:rsid w:val="00F73B1B"/>
    <w:rsid w:val="00F74163"/>
    <w:rsid w:val="00F752E5"/>
    <w:rsid w:val="00F7610B"/>
    <w:rsid w:val="00F8014D"/>
    <w:rsid w:val="00F82B7A"/>
    <w:rsid w:val="00F841B6"/>
    <w:rsid w:val="00F845D1"/>
    <w:rsid w:val="00F84EBC"/>
    <w:rsid w:val="00F8600A"/>
    <w:rsid w:val="00F870FC"/>
    <w:rsid w:val="00F87C3D"/>
    <w:rsid w:val="00F87D78"/>
    <w:rsid w:val="00F90B10"/>
    <w:rsid w:val="00F90B69"/>
    <w:rsid w:val="00F90BCE"/>
    <w:rsid w:val="00F916C0"/>
    <w:rsid w:val="00F923A4"/>
    <w:rsid w:val="00F9301D"/>
    <w:rsid w:val="00F9303A"/>
    <w:rsid w:val="00F93785"/>
    <w:rsid w:val="00F94217"/>
    <w:rsid w:val="00F94A0B"/>
    <w:rsid w:val="00F95968"/>
    <w:rsid w:val="00F95D0D"/>
    <w:rsid w:val="00F95D9E"/>
    <w:rsid w:val="00F96FCC"/>
    <w:rsid w:val="00FA059F"/>
    <w:rsid w:val="00FA0687"/>
    <w:rsid w:val="00FA1C30"/>
    <w:rsid w:val="00FA35CC"/>
    <w:rsid w:val="00FA39CA"/>
    <w:rsid w:val="00FA4280"/>
    <w:rsid w:val="00FA5290"/>
    <w:rsid w:val="00FA5A91"/>
    <w:rsid w:val="00FA5D5A"/>
    <w:rsid w:val="00FA5D7C"/>
    <w:rsid w:val="00FA6E73"/>
    <w:rsid w:val="00FB0421"/>
    <w:rsid w:val="00FB0F86"/>
    <w:rsid w:val="00FB1464"/>
    <w:rsid w:val="00FB1F80"/>
    <w:rsid w:val="00FB34F0"/>
    <w:rsid w:val="00FB38A0"/>
    <w:rsid w:val="00FB4B39"/>
    <w:rsid w:val="00FB5D91"/>
    <w:rsid w:val="00FB5DF1"/>
    <w:rsid w:val="00FB642C"/>
    <w:rsid w:val="00FB6D2D"/>
    <w:rsid w:val="00FB7759"/>
    <w:rsid w:val="00FC0EA4"/>
    <w:rsid w:val="00FC1762"/>
    <w:rsid w:val="00FC2F5D"/>
    <w:rsid w:val="00FC559B"/>
    <w:rsid w:val="00FC5748"/>
    <w:rsid w:val="00FC5B91"/>
    <w:rsid w:val="00FC5CB8"/>
    <w:rsid w:val="00FC747D"/>
    <w:rsid w:val="00FC78C6"/>
    <w:rsid w:val="00FD0D0D"/>
    <w:rsid w:val="00FD0D1B"/>
    <w:rsid w:val="00FD226B"/>
    <w:rsid w:val="00FD2611"/>
    <w:rsid w:val="00FD2634"/>
    <w:rsid w:val="00FD2641"/>
    <w:rsid w:val="00FD2671"/>
    <w:rsid w:val="00FD27A1"/>
    <w:rsid w:val="00FD287B"/>
    <w:rsid w:val="00FD38A0"/>
    <w:rsid w:val="00FD3B6B"/>
    <w:rsid w:val="00FD3E22"/>
    <w:rsid w:val="00FD4939"/>
    <w:rsid w:val="00FD5895"/>
    <w:rsid w:val="00FD5B35"/>
    <w:rsid w:val="00FD5BE0"/>
    <w:rsid w:val="00FD5E16"/>
    <w:rsid w:val="00FE03DA"/>
    <w:rsid w:val="00FE0544"/>
    <w:rsid w:val="00FE0BDD"/>
    <w:rsid w:val="00FE22BC"/>
    <w:rsid w:val="00FE2E1E"/>
    <w:rsid w:val="00FE363A"/>
    <w:rsid w:val="00FE3950"/>
    <w:rsid w:val="00FE4168"/>
    <w:rsid w:val="00FE4182"/>
    <w:rsid w:val="00FE438A"/>
    <w:rsid w:val="00FE4AF6"/>
    <w:rsid w:val="00FE5428"/>
    <w:rsid w:val="00FE5946"/>
    <w:rsid w:val="00FE5B6D"/>
    <w:rsid w:val="00FE5C1F"/>
    <w:rsid w:val="00FE5D8B"/>
    <w:rsid w:val="00FE793D"/>
    <w:rsid w:val="00FE7A2B"/>
    <w:rsid w:val="00FE7CEC"/>
    <w:rsid w:val="00FE7FE7"/>
    <w:rsid w:val="00FF1179"/>
    <w:rsid w:val="00FF128F"/>
    <w:rsid w:val="00FF14FD"/>
    <w:rsid w:val="00FF15C1"/>
    <w:rsid w:val="00FF2489"/>
    <w:rsid w:val="00FF2E78"/>
    <w:rsid w:val="00FF3155"/>
    <w:rsid w:val="00FF3204"/>
    <w:rsid w:val="00FF386F"/>
    <w:rsid w:val="00FF47C6"/>
    <w:rsid w:val="00FF5357"/>
    <w:rsid w:val="00FF5A07"/>
    <w:rsid w:val="00FF5DEB"/>
    <w:rsid w:val="00FF68E1"/>
    <w:rsid w:val="00FF6AB8"/>
    <w:rsid w:val="00FF7DB1"/>
    <w:rsid w:val="00FF7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AA400"/>
  <w15:chartTrackingRefBased/>
  <w15:docId w15:val="{258D5D87-5B9A-4940-A715-182FC52DC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5241"/>
    <w:pPr>
      <w:spacing w:after="0"/>
    </w:pPr>
  </w:style>
  <w:style w:type="paragraph" w:styleId="Titolo1">
    <w:name w:val="heading 1"/>
    <w:basedOn w:val="Normale"/>
    <w:next w:val="Normale"/>
    <w:link w:val="Titolo1Carattere"/>
    <w:uiPriority w:val="9"/>
    <w:qFormat/>
    <w:rsid w:val="00BB2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DB4C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CC34D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4C7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B4C7F"/>
  </w:style>
  <w:style w:type="paragraph" w:styleId="Pidipagina">
    <w:name w:val="footer"/>
    <w:basedOn w:val="Normale"/>
    <w:link w:val="PidipaginaCarattere"/>
    <w:uiPriority w:val="99"/>
    <w:unhideWhenUsed/>
    <w:rsid w:val="00DB4C7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B4C7F"/>
  </w:style>
  <w:style w:type="character" w:customStyle="1" w:styleId="Titolo2Carattere">
    <w:name w:val="Titolo 2 Carattere"/>
    <w:basedOn w:val="Carpredefinitoparagrafo"/>
    <w:link w:val="Titolo2"/>
    <w:uiPriority w:val="9"/>
    <w:rsid w:val="00DB4C7F"/>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CC34D7"/>
    <w:rPr>
      <w:rFonts w:asciiTheme="majorHAnsi" w:eastAsiaTheme="majorEastAsia" w:hAnsiTheme="majorHAnsi" w:cstheme="majorBidi"/>
      <w:color w:val="1F3763" w:themeColor="accent1" w:themeShade="7F"/>
      <w:sz w:val="24"/>
      <w:szCs w:val="24"/>
    </w:rPr>
  </w:style>
  <w:style w:type="table" w:styleId="Grigliatabella">
    <w:name w:val="Table Grid"/>
    <w:basedOn w:val="Tabellanormale"/>
    <w:uiPriority w:val="39"/>
    <w:rsid w:val="000E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C45E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1Carattere">
    <w:name w:val="Titolo 1 Carattere"/>
    <w:basedOn w:val="Carpredefinitoparagrafo"/>
    <w:link w:val="Titolo1"/>
    <w:uiPriority w:val="9"/>
    <w:rsid w:val="00BB2D15"/>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BB2D15"/>
    <w:pPr>
      <w:outlineLvl w:val="9"/>
    </w:pPr>
    <w:rPr>
      <w:kern w:val="0"/>
      <w:lang w:eastAsia="it-IT"/>
      <w14:ligatures w14:val="none"/>
    </w:rPr>
  </w:style>
  <w:style w:type="paragraph" w:styleId="Sommario2">
    <w:name w:val="toc 2"/>
    <w:basedOn w:val="Normale"/>
    <w:next w:val="Normale"/>
    <w:autoRedefine/>
    <w:uiPriority w:val="39"/>
    <w:unhideWhenUsed/>
    <w:rsid w:val="00BB2D15"/>
    <w:pPr>
      <w:spacing w:after="100"/>
      <w:ind w:left="220"/>
    </w:pPr>
  </w:style>
  <w:style w:type="paragraph" w:styleId="Sommario3">
    <w:name w:val="toc 3"/>
    <w:basedOn w:val="Normale"/>
    <w:next w:val="Normale"/>
    <w:autoRedefine/>
    <w:uiPriority w:val="39"/>
    <w:unhideWhenUsed/>
    <w:rsid w:val="00EB372F"/>
    <w:pPr>
      <w:tabs>
        <w:tab w:val="right" w:leader="dot" w:pos="9628"/>
      </w:tabs>
      <w:spacing w:after="100"/>
      <w:ind w:left="440"/>
    </w:pPr>
  </w:style>
  <w:style w:type="character" w:styleId="Collegamentoipertestuale">
    <w:name w:val="Hyperlink"/>
    <w:basedOn w:val="Carpredefinitoparagrafo"/>
    <w:uiPriority w:val="99"/>
    <w:unhideWhenUsed/>
    <w:rsid w:val="00BB2D15"/>
    <w:rPr>
      <w:color w:val="0563C1" w:themeColor="hyperlink"/>
      <w:u w:val="single"/>
    </w:rPr>
  </w:style>
  <w:style w:type="paragraph" w:styleId="Sommario1">
    <w:name w:val="toc 1"/>
    <w:basedOn w:val="Normale"/>
    <w:next w:val="Normale"/>
    <w:autoRedefine/>
    <w:uiPriority w:val="39"/>
    <w:unhideWhenUsed/>
    <w:rsid w:val="00074E26"/>
    <w:pPr>
      <w:spacing w:after="100"/>
    </w:pPr>
  </w:style>
  <w:style w:type="paragraph" w:styleId="Paragrafoelenco">
    <w:name w:val="List Paragraph"/>
    <w:basedOn w:val="Normale"/>
    <w:uiPriority w:val="34"/>
    <w:qFormat/>
    <w:rsid w:val="00A84877"/>
    <w:pPr>
      <w:spacing w:after="160"/>
      <w:ind w:left="720"/>
      <w:contextualSpacing/>
    </w:pPr>
    <w:rPr>
      <w:kern w:val="0"/>
      <w14:ligatures w14:val="none"/>
    </w:rPr>
  </w:style>
  <w:style w:type="paragraph" w:styleId="Revisione">
    <w:name w:val="Revision"/>
    <w:hidden/>
    <w:uiPriority w:val="99"/>
    <w:semiHidden/>
    <w:rsid w:val="00462D59"/>
    <w:pPr>
      <w:spacing w:after="0" w:line="240" w:lineRule="auto"/>
    </w:pPr>
  </w:style>
  <w:style w:type="character" w:styleId="Rimandocommento">
    <w:name w:val="annotation reference"/>
    <w:basedOn w:val="Carpredefinitoparagrafo"/>
    <w:uiPriority w:val="99"/>
    <w:semiHidden/>
    <w:unhideWhenUsed/>
    <w:rsid w:val="00623F12"/>
    <w:rPr>
      <w:sz w:val="16"/>
      <w:szCs w:val="16"/>
    </w:rPr>
  </w:style>
  <w:style w:type="paragraph" w:styleId="Testocommento">
    <w:name w:val="annotation text"/>
    <w:basedOn w:val="Normale"/>
    <w:link w:val="TestocommentoCarattere"/>
    <w:uiPriority w:val="99"/>
    <w:unhideWhenUsed/>
    <w:rsid w:val="00623F12"/>
    <w:pPr>
      <w:spacing w:line="240" w:lineRule="auto"/>
    </w:pPr>
    <w:rPr>
      <w:sz w:val="20"/>
      <w:szCs w:val="20"/>
    </w:rPr>
  </w:style>
  <w:style w:type="character" w:customStyle="1" w:styleId="TestocommentoCarattere">
    <w:name w:val="Testo commento Carattere"/>
    <w:basedOn w:val="Carpredefinitoparagrafo"/>
    <w:link w:val="Testocommento"/>
    <w:uiPriority w:val="99"/>
    <w:rsid w:val="00623F12"/>
    <w:rPr>
      <w:sz w:val="20"/>
      <w:szCs w:val="20"/>
    </w:rPr>
  </w:style>
  <w:style w:type="paragraph" w:styleId="Soggettocommento">
    <w:name w:val="annotation subject"/>
    <w:basedOn w:val="Testocommento"/>
    <w:next w:val="Testocommento"/>
    <w:link w:val="SoggettocommentoCarattere"/>
    <w:uiPriority w:val="99"/>
    <w:semiHidden/>
    <w:unhideWhenUsed/>
    <w:rsid w:val="00623F12"/>
    <w:rPr>
      <w:b/>
      <w:bCs/>
    </w:rPr>
  </w:style>
  <w:style w:type="character" w:customStyle="1" w:styleId="SoggettocommentoCarattere">
    <w:name w:val="Soggetto commento Carattere"/>
    <w:basedOn w:val="TestocommentoCarattere"/>
    <w:link w:val="Soggettocommento"/>
    <w:uiPriority w:val="99"/>
    <w:semiHidden/>
    <w:rsid w:val="00623F12"/>
    <w:rPr>
      <w:b/>
      <w:bCs/>
      <w:sz w:val="20"/>
      <w:szCs w:val="20"/>
    </w:rPr>
  </w:style>
  <w:style w:type="paragraph" w:styleId="Testonotaapidipagina">
    <w:name w:val="footnote text"/>
    <w:basedOn w:val="Normale"/>
    <w:link w:val="TestonotaapidipaginaCarattere"/>
    <w:uiPriority w:val="99"/>
    <w:semiHidden/>
    <w:unhideWhenUsed/>
    <w:rsid w:val="0070313E"/>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0313E"/>
    <w:rPr>
      <w:sz w:val="20"/>
      <w:szCs w:val="20"/>
    </w:rPr>
  </w:style>
  <w:style w:type="character" w:styleId="Rimandonotaapidipagina">
    <w:name w:val="footnote reference"/>
    <w:basedOn w:val="Carpredefinitoparagrafo"/>
    <w:uiPriority w:val="99"/>
    <w:semiHidden/>
    <w:unhideWhenUsed/>
    <w:rsid w:val="0070313E"/>
    <w:rPr>
      <w:vertAlign w:val="superscript"/>
    </w:rPr>
  </w:style>
  <w:style w:type="paragraph" w:styleId="NormaleWeb">
    <w:name w:val="Normal (Web)"/>
    <w:basedOn w:val="Normale"/>
    <w:uiPriority w:val="99"/>
    <w:unhideWhenUsed/>
    <w:rsid w:val="009B658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658">
      <w:bodyDiv w:val="1"/>
      <w:marLeft w:val="0"/>
      <w:marRight w:val="0"/>
      <w:marTop w:val="0"/>
      <w:marBottom w:val="0"/>
      <w:divBdr>
        <w:top w:val="none" w:sz="0" w:space="0" w:color="auto"/>
        <w:left w:val="none" w:sz="0" w:space="0" w:color="auto"/>
        <w:bottom w:val="none" w:sz="0" w:space="0" w:color="auto"/>
        <w:right w:val="none" w:sz="0" w:space="0" w:color="auto"/>
      </w:divBdr>
    </w:div>
    <w:div w:id="36125769">
      <w:bodyDiv w:val="1"/>
      <w:marLeft w:val="0"/>
      <w:marRight w:val="0"/>
      <w:marTop w:val="0"/>
      <w:marBottom w:val="0"/>
      <w:divBdr>
        <w:top w:val="none" w:sz="0" w:space="0" w:color="auto"/>
        <w:left w:val="none" w:sz="0" w:space="0" w:color="auto"/>
        <w:bottom w:val="none" w:sz="0" w:space="0" w:color="auto"/>
        <w:right w:val="none" w:sz="0" w:space="0" w:color="auto"/>
      </w:divBdr>
    </w:div>
    <w:div w:id="47730496">
      <w:bodyDiv w:val="1"/>
      <w:marLeft w:val="0"/>
      <w:marRight w:val="0"/>
      <w:marTop w:val="0"/>
      <w:marBottom w:val="0"/>
      <w:divBdr>
        <w:top w:val="none" w:sz="0" w:space="0" w:color="auto"/>
        <w:left w:val="none" w:sz="0" w:space="0" w:color="auto"/>
        <w:bottom w:val="none" w:sz="0" w:space="0" w:color="auto"/>
        <w:right w:val="none" w:sz="0" w:space="0" w:color="auto"/>
      </w:divBdr>
    </w:div>
    <w:div w:id="65417015">
      <w:bodyDiv w:val="1"/>
      <w:marLeft w:val="0"/>
      <w:marRight w:val="0"/>
      <w:marTop w:val="0"/>
      <w:marBottom w:val="0"/>
      <w:divBdr>
        <w:top w:val="none" w:sz="0" w:space="0" w:color="auto"/>
        <w:left w:val="none" w:sz="0" w:space="0" w:color="auto"/>
        <w:bottom w:val="none" w:sz="0" w:space="0" w:color="auto"/>
        <w:right w:val="none" w:sz="0" w:space="0" w:color="auto"/>
      </w:divBdr>
    </w:div>
    <w:div w:id="72553575">
      <w:bodyDiv w:val="1"/>
      <w:marLeft w:val="0"/>
      <w:marRight w:val="0"/>
      <w:marTop w:val="0"/>
      <w:marBottom w:val="0"/>
      <w:divBdr>
        <w:top w:val="none" w:sz="0" w:space="0" w:color="auto"/>
        <w:left w:val="none" w:sz="0" w:space="0" w:color="auto"/>
        <w:bottom w:val="none" w:sz="0" w:space="0" w:color="auto"/>
        <w:right w:val="none" w:sz="0" w:space="0" w:color="auto"/>
      </w:divBdr>
    </w:div>
    <w:div w:id="82462306">
      <w:bodyDiv w:val="1"/>
      <w:marLeft w:val="0"/>
      <w:marRight w:val="0"/>
      <w:marTop w:val="0"/>
      <w:marBottom w:val="0"/>
      <w:divBdr>
        <w:top w:val="none" w:sz="0" w:space="0" w:color="auto"/>
        <w:left w:val="none" w:sz="0" w:space="0" w:color="auto"/>
        <w:bottom w:val="none" w:sz="0" w:space="0" w:color="auto"/>
        <w:right w:val="none" w:sz="0" w:space="0" w:color="auto"/>
      </w:divBdr>
    </w:div>
    <w:div w:id="143668659">
      <w:bodyDiv w:val="1"/>
      <w:marLeft w:val="0"/>
      <w:marRight w:val="0"/>
      <w:marTop w:val="0"/>
      <w:marBottom w:val="0"/>
      <w:divBdr>
        <w:top w:val="none" w:sz="0" w:space="0" w:color="auto"/>
        <w:left w:val="none" w:sz="0" w:space="0" w:color="auto"/>
        <w:bottom w:val="none" w:sz="0" w:space="0" w:color="auto"/>
        <w:right w:val="none" w:sz="0" w:space="0" w:color="auto"/>
      </w:divBdr>
    </w:div>
    <w:div w:id="197813700">
      <w:bodyDiv w:val="1"/>
      <w:marLeft w:val="0"/>
      <w:marRight w:val="0"/>
      <w:marTop w:val="0"/>
      <w:marBottom w:val="0"/>
      <w:divBdr>
        <w:top w:val="none" w:sz="0" w:space="0" w:color="auto"/>
        <w:left w:val="none" w:sz="0" w:space="0" w:color="auto"/>
        <w:bottom w:val="none" w:sz="0" w:space="0" w:color="auto"/>
        <w:right w:val="none" w:sz="0" w:space="0" w:color="auto"/>
      </w:divBdr>
    </w:div>
    <w:div w:id="237521501">
      <w:bodyDiv w:val="1"/>
      <w:marLeft w:val="0"/>
      <w:marRight w:val="0"/>
      <w:marTop w:val="0"/>
      <w:marBottom w:val="0"/>
      <w:divBdr>
        <w:top w:val="none" w:sz="0" w:space="0" w:color="auto"/>
        <w:left w:val="none" w:sz="0" w:space="0" w:color="auto"/>
        <w:bottom w:val="none" w:sz="0" w:space="0" w:color="auto"/>
        <w:right w:val="none" w:sz="0" w:space="0" w:color="auto"/>
      </w:divBdr>
    </w:div>
    <w:div w:id="283003469">
      <w:bodyDiv w:val="1"/>
      <w:marLeft w:val="0"/>
      <w:marRight w:val="0"/>
      <w:marTop w:val="0"/>
      <w:marBottom w:val="0"/>
      <w:divBdr>
        <w:top w:val="none" w:sz="0" w:space="0" w:color="auto"/>
        <w:left w:val="none" w:sz="0" w:space="0" w:color="auto"/>
        <w:bottom w:val="none" w:sz="0" w:space="0" w:color="auto"/>
        <w:right w:val="none" w:sz="0" w:space="0" w:color="auto"/>
      </w:divBdr>
    </w:div>
    <w:div w:id="299463523">
      <w:bodyDiv w:val="1"/>
      <w:marLeft w:val="0"/>
      <w:marRight w:val="0"/>
      <w:marTop w:val="0"/>
      <w:marBottom w:val="0"/>
      <w:divBdr>
        <w:top w:val="none" w:sz="0" w:space="0" w:color="auto"/>
        <w:left w:val="none" w:sz="0" w:space="0" w:color="auto"/>
        <w:bottom w:val="none" w:sz="0" w:space="0" w:color="auto"/>
        <w:right w:val="none" w:sz="0" w:space="0" w:color="auto"/>
      </w:divBdr>
    </w:div>
    <w:div w:id="330640345">
      <w:bodyDiv w:val="1"/>
      <w:marLeft w:val="0"/>
      <w:marRight w:val="0"/>
      <w:marTop w:val="0"/>
      <w:marBottom w:val="0"/>
      <w:divBdr>
        <w:top w:val="none" w:sz="0" w:space="0" w:color="auto"/>
        <w:left w:val="none" w:sz="0" w:space="0" w:color="auto"/>
        <w:bottom w:val="none" w:sz="0" w:space="0" w:color="auto"/>
        <w:right w:val="none" w:sz="0" w:space="0" w:color="auto"/>
      </w:divBdr>
    </w:div>
    <w:div w:id="335576456">
      <w:bodyDiv w:val="1"/>
      <w:marLeft w:val="0"/>
      <w:marRight w:val="0"/>
      <w:marTop w:val="0"/>
      <w:marBottom w:val="0"/>
      <w:divBdr>
        <w:top w:val="none" w:sz="0" w:space="0" w:color="auto"/>
        <w:left w:val="none" w:sz="0" w:space="0" w:color="auto"/>
        <w:bottom w:val="none" w:sz="0" w:space="0" w:color="auto"/>
        <w:right w:val="none" w:sz="0" w:space="0" w:color="auto"/>
      </w:divBdr>
    </w:div>
    <w:div w:id="372582103">
      <w:bodyDiv w:val="1"/>
      <w:marLeft w:val="0"/>
      <w:marRight w:val="0"/>
      <w:marTop w:val="0"/>
      <w:marBottom w:val="0"/>
      <w:divBdr>
        <w:top w:val="none" w:sz="0" w:space="0" w:color="auto"/>
        <w:left w:val="none" w:sz="0" w:space="0" w:color="auto"/>
        <w:bottom w:val="none" w:sz="0" w:space="0" w:color="auto"/>
        <w:right w:val="none" w:sz="0" w:space="0" w:color="auto"/>
      </w:divBdr>
    </w:div>
    <w:div w:id="378478259">
      <w:bodyDiv w:val="1"/>
      <w:marLeft w:val="0"/>
      <w:marRight w:val="0"/>
      <w:marTop w:val="0"/>
      <w:marBottom w:val="0"/>
      <w:divBdr>
        <w:top w:val="none" w:sz="0" w:space="0" w:color="auto"/>
        <w:left w:val="none" w:sz="0" w:space="0" w:color="auto"/>
        <w:bottom w:val="none" w:sz="0" w:space="0" w:color="auto"/>
        <w:right w:val="none" w:sz="0" w:space="0" w:color="auto"/>
      </w:divBdr>
    </w:div>
    <w:div w:id="393436022">
      <w:bodyDiv w:val="1"/>
      <w:marLeft w:val="0"/>
      <w:marRight w:val="0"/>
      <w:marTop w:val="0"/>
      <w:marBottom w:val="0"/>
      <w:divBdr>
        <w:top w:val="none" w:sz="0" w:space="0" w:color="auto"/>
        <w:left w:val="none" w:sz="0" w:space="0" w:color="auto"/>
        <w:bottom w:val="none" w:sz="0" w:space="0" w:color="auto"/>
        <w:right w:val="none" w:sz="0" w:space="0" w:color="auto"/>
      </w:divBdr>
    </w:div>
    <w:div w:id="424375928">
      <w:bodyDiv w:val="1"/>
      <w:marLeft w:val="0"/>
      <w:marRight w:val="0"/>
      <w:marTop w:val="0"/>
      <w:marBottom w:val="0"/>
      <w:divBdr>
        <w:top w:val="none" w:sz="0" w:space="0" w:color="auto"/>
        <w:left w:val="none" w:sz="0" w:space="0" w:color="auto"/>
        <w:bottom w:val="none" w:sz="0" w:space="0" w:color="auto"/>
        <w:right w:val="none" w:sz="0" w:space="0" w:color="auto"/>
      </w:divBdr>
    </w:div>
    <w:div w:id="434522576">
      <w:bodyDiv w:val="1"/>
      <w:marLeft w:val="0"/>
      <w:marRight w:val="0"/>
      <w:marTop w:val="0"/>
      <w:marBottom w:val="0"/>
      <w:divBdr>
        <w:top w:val="none" w:sz="0" w:space="0" w:color="auto"/>
        <w:left w:val="none" w:sz="0" w:space="0" w:color="auto"/>
        <w:bottom w:val="none" w:sz="0" w:space="0" w:color="auto"/>
        <w:right w:val="none" w:sz="0" w:space="0" w:color="auto"/>
      </w:divBdr>
    </w:div>
    <w:div w:id="441725195">
      <w:bodyDiv w:val="1"/>
      <w:marLeft w:val="0"/>
      <w:marRight w:val="0"/>
      <w:marTop w:val="0"/>
      <w:marBottom w:val="0"/>
      <w:divBdr>
        <w:top w:val="none" w:sz="0" w:space="0" w:color="auto"/>
        <w:left w:val="none" w:sz="0" w:space="0" w:color="auto"/>
        <w:bottom w:val="none" w:sz="0" w:space="0" w:color="auto"/>
        <w:right w:val="none" w:sz="0" w:space="0" w:color="auto"/>
      </w:divBdr>
    </w:div>
    <w:div w:id="452214649">
      <w:bodyDiv w:val="1"/>
      <w:marLeft w:val="0"/>
      <w:marRight w:val="0"/>
      <w:marTop w:val="0"/>
      <w:marBottom w:val="0"/>
      <w:divBdr>
        <w:top w:val="none" w:sz="0" w:space="0" w:color="auto"/>
        <w:left w:val="none" w:sz="0" w:space="0" w:color="auto"/>
        <w:bottom w:val="none" w:sz="0" w:space="0" w:color="auto"/>
        <w:right w:val="none" w:sz="0" w:space="0" w:color="auto"/>
      </w:divBdr>
    </w:div>
    <w:div w:id="456071021">
      <w:bodyDiv w:val="1"/>
      <w:marLeft w:val="0"/>
      <w:marRight w:val="0"/>
      <w:marTop w:val="0"/>
      <w:marBottom w:val="0"/>
      <w:divBdr>
        <w:top w:val="none" w:sz="0" w:space="0" w:color="auto"/>
        <w:left w:val="none" w:sz="0" w:space="0" w:color="auto"/>
        <w:bottom w:val="none" w:sz="0" w:space="0" w:color="auto"/>
        <w:right w:val="none" w:sz="0" w:space="0" w:color="auto"/>
      </w:divBdr>
    </w:div>
    <w:div w:id="489953163">
      <w:bodyDiv w:val="1"/>
      <w:marLeft w:val="0"/>
      <w:marRight w:val="0"/>
      <w:marTop w:val="0"/>
      <w:marBottom w:val="0"/>
      <w:divBdr>
        <w:top w:val="none" w:sz="0" w:space="0" w:color="auto"/>
        <w:left w:val="none" w:sz="0" w:space="0" w:color="auto"/>
        <w:bottom w:val="none" w:sz="0" w:space="0" w:color="auto"/>
        <w:right w:val="none" w:sz="0" w:space="0" w:color="auto"/>
      </w:divBdr>
    </w:div>
    <w:div w:id="497428979">
      <w:bodyDiv w:val="1"/>
      <w:marLeft w:val="0"/>
      <w:marRight w:val="0"/>
      <w:marTop w:val="0"/>
      <w:marBottom w:val="0"/>
      <w:divBdr>
        <w:top w:val="none" w:sz="0" w:space="0" w:color="auto"/>
        <w:left w:val="none" w:sz="0" w:space="0" w:color="auto"/>
        <w:bottom w:val="none" w:sz="0" w:space="0" w:color="auto"/>
        <w:right w:val="none" w:sz="0" w:space="0" w:color="auto"/>
      </w:divBdr>
    </w:div>
    <w:div w:id="538321850">
      <w:bodyDiv w:val="1"/>
      <w:marLeft w:val="0"/>
      <w:marRight w:val="0"/>
      <w:marTop w:val="0"/>
      <w:marBottom w:val="0"/>
      <w:divBdr>
        <w:top w:val="none" w:sz="0" w:space="0" w:color="auto"/>
        <w:left w:val="none" w:sz="0" w:space="0" w:color="auto"/>
        <w:bottom w:val="none" w:sz="0" w:space="0" w:color="auto"/>
        <w:right w:val="none" w:sz="0" w:space="0" w:color="auto"/>
      </w:divBdr>
    </w:div>
    <w:div w:id="547883201">
      <w:bodyDiv w:val="1"/>
      <w:marLeft w:val="0"/>
      <w:marRight w:val="0"/>
      <w:marTop w:val="0"/>
      <w:marBottom w:val="0"/>
      <w:divBdr>
        <w:top w:val="none" w:sz="0" w:space="0" w:color="auto"/>
        <w:left w:val="none" w:sz="0" w:space="0" w:color="auto"/>
        <w:bottom w:val="none" w:sz="0" w:space="0" w:color="auto"/>
        <w:right w:val="none" w:sz="0" w:space="0" w:color="auto"/>
      </w:divBdr>
    </w:div>
    <w:div w:id="575432433">
      <w:bodyDiv w:val="1"/>
      <w:marLeft w:val="0"/>
      <w:marRight w:val="0"/>
      <w:marTop w:val="0"/>
      <w:marBottom w:val="0"/>
      <w:divBdr>
        <w:top w:val="none" w:sz="0" w:space="0" w:color="auto"/>
        <w:left w:val="none" w:sz="0" w:space="0" w:color="auto"/>
        <w:bottom w:val="none" w:sz="0" w:space="0" w:color="auto"/>
        <w:right w:val="none" w:sz="0" w:space="0" w:color="auto"/>
      </w:divBdr>
    </w:div>
    <w:div w:id="594635334">
      <w:bodyDiv w:val="1"/>
      <w:marLeft w:val="0"/>
      <w:marRight w:val="0"/>
      <w:marTop w:val="0"/>
      <w:marBottom w:val="0"/>
      <w:divBdr>
        <w:top w:val="none" w:sz="0" w:space="0" w:color="auto"/>
        <w:left w:val="none" w:sz="0" w:space="0" w:color="auto"/>
        <w:bottom w:val="none" w:sz="0" w:space="0" w:color="auto"/>
        <w:right w:val="none" w:sz="0" w:space="0" w:color="auto"/>
      </w:divBdr>
    </w:div>
    <w:div w:id="615527488">
      <w:bodyDiv w:val="1"/>
      <w:marLeft w:val="0"/>
      <w:marRight w:val="0"/>
      <w:marTop w:val="0"/>
      <w:marBottom w:val="0"/>
      <w:divBdr>
        <w:top w:val="none" w:sz="0" w:space="0" w:color="auto"/>
        <w:left w:val="none" w:sz="0" w:space="0" w:color="auto"/>
        <w:bottom w:val="none" w:sz="0" w:space="0" w:color="auto"/>
        <w:right w:val="none" w:sz="0" w:space="0" w:color="auto"/>
      </w:divBdr>
    </w:div>
    <w:div w:id="812602245">
      <w:bodyDiv w:val="1"/>
      <w:marLeft w:val="0"/>
      <w:marRight w:val="0"/>
      <w:marTop w:val="0"/>
      <w:marBottom w:val="0"/>
      <w:divBdr>
        <w:top w:val="none" w:sz="0" w:space="0" w:color="auto"/>
        <w:left w:val="none" w:sz="0" w:space="0" w:color="auto"/>
        <w:bottom w:val="none" w:sz="0" w:space="0" w:color="auto"/>
        <w:right w:val="none" w:sz="0" w:space="0" w:color="auto"/>
      </w:divBdr>
    </w:div>
    <w:div w:id="872888129">
      <w:bodyDiv w:val="1"/>
      <w:marLeft w:val="0"/>
      <w:marRight w:val="0"/>
      <w:marTop w:val="0"/>
      <w:marBottom w:val="0"/>
      <w:divBdr>
        <w:top w:val="none" w:sz="0" w:space="0" w:color="auto"/>
        <w:left w:val="none" w:sz="0" w:space="0" w:color="auto"/>
        <w:bottom w:val="none" w:sz="0" w:space="0" w:color="auto"/>
        <w:right w:val="none" w:sz="0" w:space="0" w:color="auto"/>
      </w:divBdr>
    </w:div>
    <w:div w:id="893466103">
      <w:bodyDiv w:val="1"/>
      <w:marLeft w:val="0"/>
      <w:marRight w:val="0"/>
      <w:marTop w:val="0"/>
      <w:marBottom w:val="0"/>
      <w:divBdr>
        <w:top w:val="none" w:sz="0" w:space="0" w:color="auto"/>
        <w:left w:val="none" w:sz="0" w:space="0" w:color="auto"/>
        <w:bottom w:val="none" w:sz="0" w:space="0" w:color="auto"/>
        <w:right w:val="none" w:sz="0" w:space="0" w:color="auto"/>
      </w:divBdr>
    </w:div>
    <w:div w:id="958102747">
      <w:bodyDiv w:val="1"/>
      <w:marLeft w:val="0"/>
      <w:marRight w:val="0"/>
      <w:marTop w:val="0"/>
      <w:marBottom w:val="0"/>
      <w:divBdr>
        <w:top w:val="none" w:sz="0" w:space="0" w:color="auto"/>
        <w:left w:val="none" w:sz="0" w:space="0" w:color="auto"/>
        <w:bottom w:val="none" w:sz="0" w:space="0" w:color="auto"/>
        <w:right w:val="none" w:sz="0" w:space="0" w:color="auto"/>
      </w:divBdr>
    </w:div>
    <w:div w:id="981738726">
      <w:bodyDiv w:val="1"/>
      <w:marLeft w:val="0"/>
      <w:marRight w:val="0"/>
      <w:marTop w:val="0"/>
      <w:marBottom w:val="0"/>
      <w:divBdr>
        <w:top w:val="none" w:sz="0" w:space="0" w:color="auto"/>
        <w:left w:val="none" w:sz="0" w:space="0" w:color="auto"/>
        <w:bottom w:val="none" w:sz="0" w:space="0" w:color="auto"/>
        <w:right w:val="none" w:sz="0" w:space="0" w:color="auto"/>
      </w:divBdr>
    </w:div>
    <w:div w:id="1008405013">
      <w:bodyDiv w:val="1"/>
      <w:marLeft w:val="0"/>
      <w:marRight w:val="0"/>
      <w:marTop w:val="0"/>
      <w:marBottom w:val="0"/>
      <w:divBdr>
        <w:top w:val="none" w:sz="0" w:space="0" w:color="auto"/>
        <w:left w:val="none" w:sz="0" w:space="0" w:color="auto"/>
        <w:bottom w:val="none" w:sz="0" w:space="0" w:color="auto"/>
        <w:right w:val="none" w:sz="0" w:space="0" w:color="auto"/>
      </w:divBdr>
    </w:div>
    <w:div w:id="1018697031">
      <w:bodyDiv w:val="1"/>
      <w:marLeft w:val="0"/>
      <w:marRight w:val="0"/>
      <w:marTop w:val="0"/>
      <w:marBottom w:val="0"/>
      <w:divBdr>
        <w:top w:val="none" w:sz="0" w:space="0" w:color="auto"/>
        <w:left w:val="none" w:sz="0" w:space="0" w:color="auto"/>
        <w:bottom w:val="none" w:sz="0" w:space="0" w:color="auto"/>
        <w:right w:val="none" w:sz="0" w:space="0" w:color="auto"/>
      </w:divBdr>
    </w:div>
    <w:div w:id="1118524722">
      <w:bodyDiv w:val="1"/>
      <w:marLeft w:val="0"/>
      <w:marRight w:val="0"/>
      <w:marTop w:val="0"/>
      <w:marBottom w:val="0"/>
      <w:divBdr>
        <w:top w:val="none" w:sz="0" w:space="0" w:color="auto"/>
        <w:left w:val="none" w:sz="0" w:space="0" w:color="auto"/>
        <w:bottom w:val="none" w:sz="0" w:space="0" w:color="auto"/>
        <w:right w:val="none" w:sz="0" w:space="0" w:color="auto"/>
      </w:divBdr>
    </w:div>
    <w:div w:id="1140996826">
      <w:bodyDiv w:val="1"/>
      <w:marLeft w:val="0"/>
      <w:marRight w:val="0"/>
      <w:marTop w:val="0"/>
      <w:marBottom w:val="0"/>
      <w:divBdr>
        <w:top w:val="none" w:sz="0" w:space="0" w:color="auto"/>
        <w:left w:val="none" w:sz="0" w:space="0" w:color="auto"/>
        <w:bottom w:val="none" w:sz="0" w:space="0" w:color="auto"/>
        <w:right w:val="none" w:sz="0" w:space="0" w:color="auto"/>
      </w:divBdr>
    </w:div>
    <w:div w:id="1144085565">
      <w:bodyDiv w:val="1"/>
      <w:marLeft w:val="0"/>
      <w:marRight w:val="0"/>
      <w:marTop w:val="0"/>
      <w:marBottom w:val="0"/>
      <w:divBdr>
        <w:top w:val="none" w:sz="0" w:space="0" w:color="auto"/>
        <w:left w:val="none" w:sz="0" w:space="0" w:color="auto"/>
        <w:bottom w:val="none" w:sz="0" w:space="0" w:color="auto"/>
        <w:right w:val="none" w:sz="0" w:space="0" w:color="auto"/>
      </w:divBdr>
    </w:div>
    <w:div w:id="1155758700">
      <w:bodyDiv w:val="1"/>
      <w:marLeft w:val="0"/>
      <w:marRight w:val="0"/>
      <w:marTop w:val="0"/>
      <w:marBottom w:val="0"/>
      <w:divBdr>
        <w:top w:val="none" w:sz="0" w:space="0" w:color="auto"/>
        <w:left w:val="none" w:sz="0" w:space="0" w:color="auto"/>
        <w:bottom w:val="none" w:sz="0" w:space="0" w:color="auto"/>
        <w:right w:val="none" w:sz="0" w:space="0" w:color="auto"/>
      </w:divBdr>
    </w:div>
    <w:div w:id="1230725147">
      <w:bodyDiv w:val="1"/>
      <w:marLeft w:val="0"/>
      <w:marRight w:val="0"/>
      <w:marTop w:val="0"/>
      <w:marBottom w:val="0"/>
      <w:divBdr>
        <w:top w:val="none" w:sz="0" w:space="0" w:color="auto"/>
        <w:left w:val="none" w:sz="0" w:space="0" w:color="auto"/>
        <w:bottom w:val="none" w:sz="0" w:space="0" w:color="auto"/>
        <w:right w:val="none" w:sz="0" w:space="0" w:color="auto"/>
      </w:divBdr>
    </w:div>
    <w:div w:id="1240597273">
      <w:bodyDiv w:val="1"/>
      <w:marLeft w:val="0"/>
      <w:marRight w:val="0"/>
      <w:marTop w:val="0"/>
      <w:marBottom w:val="0"/>
      <w:divBdr>
        <w:top w:val="none" w:sz="0" w:space="0" w:color="auto"/>
        <w:left w:val="none" w:sz="0" w:space="0" w:color="auto"/>
        <w:bottom w:val="none" w:sz="0" w:space="0" w:color="auto"/>
        <w:right w:val="none" w:sz="0" w:space="0" w:color="auto"/>
      </w:divBdr>
    </w:div>
    <w:div w:id="1249728976">
      <w:bodyDiv w:val="1"/>
      <w:marLeft w:val="0"/>
      <w:marRight w:val="0"/>
      <w:marTop w:val="0"/>
      <w:marBottom w:val="0"/>
      <w:divBdr>
        <w:top w:val="none" w:sz="0" w:space="0" w:color="auto"/>
        <w:left w:val="none" w:sz="0" w:space="0" w:color="auto"/>
        <w:bottom w:val="none" w:sz="0" w:space="0" w:color="auto"/>
        <w:right w:val="none" w:sz="0" w:space="0" w:color="auto"/>
      </w:divBdr>
    </w:div>
    <w:div w:id="1250117081">
      <w:bodyDiv w:val="1"/>
      <w:marLeft w:val="0"/>
      <w:marRight w:val="0"/>
      <w:marTop w:val="0"/>
      <w:marBottom w:val="0"/>
      <w:divBdr>
        <w:top w:val="none" w:sz="0" w:space="0" w:color="auto"/>
        <w:left w:val="none" w:sz="0" w:space="0" w:color="auto"/>
        <w:bottom w:val="none" w:sz="0" w:space="0" w:color="auto"/>
        <w:right w:val="none" w:sz="0" w:space="0" w:color="auto"/>
      </w:divBdr>
    </w:div>
    <w:div w:id="1251890133">
      <w:bodyDiv w:val="1"/>
      <w:marLeft w:val="0"/>
      <w:marRight w:val="0"/>
      <w:marTop w:val="0"/>
      <w:marBottom w:val="0"/>
      <w:divBdr>
        <w:top w:val="none" w:sz="0" w:space="0" w:color="auto"/>
        <w:left w:val="none" w:sz="0" w:space="0" w:color="auto"/>
        <w:bottom w:val="none" w:sz="0" w:space="0" w:color="auto"/>
        <w:right w:val="none" w:sz="0" w:space="0" w:color="auto"/>
      </w:divBdr>
    </w:div>
    <w:div w:id="1254052154">
      <w:bodyDiv w:val="1"/>
      <w:marLeft w:val="0"/>
      <w:marRight w:val="0"/>
      <w:marTop w:val="0"/>
      <w:marBottom w:val="0"/>
      <w:divBdr>
        <w:top w:val="none" w:sz="0" w:space="0" w:color="auto"/>
        <w:left w:val="none" w:sz="0" w:space="0" w:color="auto"/>
        <w:bottom w:val="none" w:sz="0" w:space="0" w:color="auto"/>
        <w:right w:val="none" w:sz="0" w:space="0" w:color="auto"/>
      </w:divBdr>
    </w:div>
    <w:div w:id="1265184652">
      <w:bodyDiv w:val="1"/>
      <w:marLeft w:val="0"/>
      <w:marRight w:val="0"/>
      <w:marTop w:val="0"/>
      <w:marBottom w:val="0"/>
      <w:divBdr>
        <w:top w:val="none" w:sz="0" w:space="0" w:color="auto"/>
        <w:left w:val="none" w:sz="0" w:space="0" w:color="auto"/>
        <w:bottom w:val="none" w:sz="0" w:space="0" w:color="auto"/>
        <w:right w:val="none" w:sz="0" w:space="0" w:color="auto"/>
      </w:divBdr>
    </w:div>
    <w:div w:id="1274091992">
      <w:bodyDiv w:val="1"/>
      <w:marLeft w:val="0"/>
      <w:marRight w:val="0"/>
      <w:marTop w:val="0"/>
      <w:marBottom w:val="0"/>
      <w:divBdr>
        <w:top w:val="none" w:sz="0" w:space="0" w:color="auto"/>
        <w:left w:val="none" w:sz="0" w:space="0" w:color="auto"/>
        <w:bottom w:val="none" w:sz="0" w:space="0" w:color="auto"/>
        <w:right w:val="none" w:sz="0" w:space="0" w:color="auto"/>
      </w:divBdr>
    </w:div>
    <w:div w:id="1274436512">
      <w:bodyDiv w:val="1"/>
      <w:marLeft w:val="0"/>
      <w:marRight w:val="0"/>
      <w:marTop w:val="0"/>
      <w:marBottom w:val="0"/>
      <w:divBdr>
        <w:top w:val="none" w:sz="0" w:space="0" w:color="auto"/>
        <w:left w:val="none" w:sz="0" w:space="0" w:color="auto"/>
        <w:bottom w:val="none" w:sz="0" w:space="0" w:color="auto"/>
        <w:right w:val="none" w:sz="0" w:space="0" w:color="auto"/>
      </w:divBdr>
    </w:div>
    <w:div w:id="1284196218">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336882074">
      <w:bodyDiv w:val="1"/>
      <w:marLeft w:val="0"/>
      <w:marRight w:val="0"/>
      <w:marTop w:val="0"/>
      <w:marBottom w:val="0"/>
      <w:divBdr>
        <w:top w:val="none" w:sz="0" w:space="0" w:color="auto"/>
        <w:left w:val="none" w:sz="0" w:space="0" w:color="auto"/>
        <w:bottom w:val="none" w:sz="0" w:space="0" w:color="auto"/>
        <w:right w:val="none" w:sz="0" w:space="0" w:color="auto"/>
      </w:divBdr>
    </w:div>
    <w:div w:id="1373774191">
      <w:bodyDiv w:val="1"/>
      <w:marLeft w:val="0"/>
      <w:marRight w:val="0"/>
      <w:marTop w:val="0"/>
      <w:marBottom w:val="0"/>
      <w:divBdr>
        <w:top w:val="none" w:sz="0" w:space="0" w:color="auto"/>
        <w:left w:val="none" w:sz="0" w:space="0" w:color="auto"/>
        <w:bottom w:val="none" w:sz="0" w:space="0" w:color="auto"/>
        <w:right w:val="none" w:sz="0" w:space="0" w:color="auto"/>
      </w:divBdr>
    </w:div>
    <w:div w:id="1381057006">
      <w:bodyDiv w:val="1"/>
      <w:marLeft w:val="0"/>
      <w:marRight w:val="0"/>
      <w:marTop w:val="0"/>
      <w:marBottom w:val="0"/>
      <w:divBdr>
        <w:top w:val="none" w:sz="0" w:space="0" w:color="auto"/>
        <w:left w:val="none" w:sz="0" w:space="0" w:color="auto"/>
        <w:bottom w:val="none" w:sz="0" w:space="0" w:color="auto"/>
        <w:right w:val="none" w:sz="0" w:space="0" w:color="auto"/>
      </w:divBdr>
    </w:div>
    <w:div w:id="1390030571">
      <w:bodyDiv w:val="1"/>
      <w:marLeft w:val="0"/>
      <w:marRight w:val="0"/>
      <w:marTop w:val="0"/>
      <w:marBottom w:val="0"/>
      <w:divBdr>
        <w:top w:val="none" w:sz="0" w:space="0" w:color="auto"/>
        <w:left w:val="none" w:sz="0" w:space="0" w:color="auto"/>
        <w:bottom w:val="none" w:sz="0" w:space="0" w:color="auto"/>
        <w:right w:val="none" w:sz="0" w:space="0" w:color="auto"/>
      </w:divBdr>
    </w:div>
    <w:div w:id="1419138929">
      <w:bodyDiv w:val="1"/>
      <w:marLeft w:val="0"/>
      <w:marRight w:val="0"/>
      <w:marTop w:val="0"/>
      <w:marBottom w:val="0"/>
      <w:divBdr>
        <w:top w:val="none" w:sz="0" w:space="0" w:color="auto"/>
        <w:left w:val="none" w:sz="0" w:space="0" w:color="auto"/>
        <w:bottom w:val="none" w:sz="0" w:space="0" w:color="auto"/>
        <w:right w:val="none" w:sz="0" w:space="0" w:color="auto"/>
      </w:divBdr>
    </w:div>
    <w:div w:id="1449661287">
      <w:bodyDiv w:val="1"/>
      <w:marLeft w:val="0"/>
      <w:marRight w:val="0"/>
      <w:marTop w:val="0"/>
      <w:marBottom w:val="0"/>
      <w:divBdr>
        <w:top w:val="none" w:sz="0" w:space="0" w:color="auto"/>
        <w:left w:val="none" w:sz="0" w:space="0" w:color="auto"/>
        <w:bottom w:val="none" w:sz="0" w:space="0" w:color="auto"/>
        <w:right w:val="none" w:sz="0" w:space="0" w:color="auto"/>
      </w:divBdr>
    </w:div>
    <w:div w:id="1460535591">
      <w:bodyDiv w:val="1"/>
      <w:marLeft w:val="0"/>
      <w:marRight w:val="0"/>
      <w:marTop w:val="0"/>
      <w:marBottom w:val="0"/>
      <w:divBdr>
        <w:top w:val="none" w:sz="0" w:space="0" w:color="auto"/>
        <w:left w:val="none" w:sz="0" w:space="0" w:color="auto"/>
        <w:bottom w:val="none" w:sz="0" w:space="0" w:color="auto"/>
        <w:right w:val="none" w:sz="0" w:space="0" w:color="auto"/>
      </w:divBdr>
    </w:div>
    <w:div w:id="1461681185">
      <w:bodyDiv w:val="1"/>
      <w:marLeft w:val="0"/>
      <w:marRight w:val="0"/>
      <w:marTop w:val="0"/>
      <w:marBottom w:val="0"/>
      <w:divBdr>
        <w:top w:val="none" w:sz="0" w:space="0" w:color="auto"/>
        <w:left w:val="none" w:sz="0" w:space="0" w:color="auto"/>
        <w:bottom w:val="none" w:sz="0" w:space="0" w:color="auto"/>
        <w:right w:val="none" w:sz="0" w:space="0" w:color="auto"/>
      </w:divBdr>
    </w:div>
    <w:div w:id="1468815465">
      <w:bodyDiv w:val="1"/>
      <w:marLeft w:val="0"/>
      <w:marRight w:val="0"/>
      <w:marTop w:val="0"/>
      <w:marBottom w:val="0"/>
      <w:divBdr>
        <w:top w:val="none" w:sz="0" w:space="0" w:color="auto"/>
        <w:left w:val="none" w:sz="0" w:space="0" w:color="auto"/>
        <w:bottom w:val="none" w:sz="0" w:space="0" w:color="auto"/>
        <w:right w:val="none" w:sz="0" w:space="0" w:color="auto"/>
      </w:divBdr>
    </w:div>
    <w:div w:id="1479611553">
      <w:bodyDiv w:val="1"/>
      <w:marLeft w:val="0"/>
      <w:marRight w:val="0"/>
      <w:marTop w:val="0"/>
      <w:marBottom w:val="0"/>
      <w:divBdr>
        <w:top w:val="none" w:sz="0" w:space="0" w:color="auto"/>
        <w:left w:val="none" w:sz="0" w:space="0" w:color="auto"/>
        <w:bottom w:val="none" w:sz="0" w:space="0" w:color="auto"/>
        <w:right w:val="none" w:sz="0" w:space="0" w:color="auto"/>
      </w:divBdr>
    </w:div>
    <w:div w:id="1546329229">
      <w:bodyDiv w:val="1"/>
      <w:marLeft w:val="0"/>
      <w:marRight w:val="0"/>
      <w:marTop w:val="0"/>
      <w:marBottom w:val="0"/>
      <w:divBdr>
        <w:top w:val="none" w:sz="0" w:space="0" w:color="auto"/>
        <w:left w:val="none" w:sz="0" w:space="0" w:color="auto"/>
        <w:bottom w:val="none" w:sz="0" w:space="0" w:color="auto"/>
        <w:right w:val="none" w:sz="0" w:space="0" w:color="auto"/>
      </w:divBdr>
    </w:div>
    <w:div w:id="1547837682">
      <w:bodyDiv w:val="1"/>
      <w:marLeft w:val="0"/>
      <w:marRight w:val="0"/>
      <w:marTop w:val="0"/>
      <w:marBottom w:val="0"/>
      <w:divBdr>
        <w:top w:val="none" w:sz="0" w:space="0" w:color="auto"/>
        <w:left w:val="none" w:sz="0" w:space="0" w:color="auto"/>
        <w:bottom w:val="none" w:sz="0" w:space="0" w:color="auto"/>
        <w:right w:val="none" w:sz="0" w:space="0" w:color="auto"/>
      </w:divBdr>
    </w:div>
    <w:div w:id="1548175355">
      <w:bodyDiv w:val="1"/>
      <w:marLeft w:val="0"/>
      <w:marRight w:val="0"/>
      <w:marTop w:val="0"/>
      <w:marBottom w:val="0"/>
      <w:divBdr>
        <w:top w:val="none" w:sz="0" w:space="0" w:color="auto"/>
        <w:left w:val="none" w:sz="0" w:space="0" w:color="auto"/>
        <w:bottom w:val="none" w:sz="0" w:space="0" w:color="auto"/>
        <w:right w:val="none" w:sz="0" w:space="0" w:color="auto"/>
      </w:divBdr>
    </w:div>
    <w:div w:id="1549533731">
      <w:bodyDiv w:val="1"/>
      <w:marLeft w:val="0"/>
      <w:marRight w:val="0"/>
      <w:marTop w:val="0"/>
      <w:marBottom w:val="0"/>
      <w:divBdr>
        <w:top w:val="none" w:sz="0" w:space="0" w:color="auto"/>
        <w:left w:val="none" w:sz="0" w:space="0" w:color="auto"/>
        <w:bottom w:val="none" w:sz="0" w:space="0" w:color="auto"/>
        <w:right w:val="none" w:sz="0" w:space="0" w:color="auto"/>
      </w:divBdr>
    </w:div>
    <w:div w:id="1568808474">
      <w:bodyDiv w:val="1"/>
      <w:marLeft w:val="0"/>
      <w:marRight w:val="0"/>
      <w:marTop w:val="0"/>
      <w:marBottom w:val="0"/>
      <w:divBdr>
        <w:top w:val="none" w:sz="0" w:space="0" w:color="auto"/>
        <w:left w:val="none" w:sz="0" w:space="0" w:color="auto"/>
        <w:bottom w:val="none" w:sz="0" w:space="0" w:color="auto"/>
        <w:right w:val="none" w:sz="0" w:space="0" w:color="auto"/>
      </w:divBdr>
    </w:div>
    <w:div w:id="1577978456">
      <w:bodyDiv w:val="1"/>
      <w:marLeft w:val="0"/>
      <w:marRight w:val="0"/>
      <w:marTop w:val="0"/>
      <w:marBottom w:val="0"/>
      <w:divBdr>
        <w:top w:val="none" w:sz="0" w:space="0" w:color="auto"/>
        <w:left w:val="none" w:sz="0" w:space="0" w:color="auto"/>
        <w:bottom w:val="none" w:sz="0" w:space="0" w:color="auto"/>
        <w:right w:val="none" w:sz="0" w:space="0" w:color="auto"/>
      </w:divBdr>
    </w:div>
    <w:div w:id="1580745851">
      <w:bodyDiv w:val="1"/>
      <w:marLeft w:val="0"/>
      <w:marRight w:val="0"/>
      <w:marTop w:val="0"/>
      <w:marBottom w:val="0"/>
      <w:divBdr>
        <w:top w:val="none" w:sz="0" w:space="0" w:color="auto"/>
        <w:left w:val="none" w:sz="0" w:space="0" w:color="auto"/>
        <w:bottom w:val="none" w:sz="0" w:space="0" w:color="auto"/>
        <w:right w:val="none" w:sz="0" w:space="0" w:color="auto"/>
      </w:divBdr>
    </w:div>
    <w:div w:id="1582107368">
      <w:bodyDiv w:val="1"/>
      <w:marLeft w:val="0"/>
      <w:marRight w:val="0"/>
      <w:marTop w:val="0"/>
      <w:marBottom w:val="0"/>
      <w:divBdr>
        <w:top w:val="none" w:sz="0" w:space="0" w:color="auto"/>
        <w:left w:val="none" w:sz="0" w:space="0" w:color="auto"/>
        <w:bottom w:val="none" w:sz="0" w:space="0" w:color="auto"/>
        <w:right w:val="none" w:sz="0" w:space="0" w:color="auto"/>
      </w:divBdr>
    </w:div>
    <w:div w:id="1588344425">
      <w:bodyDiv w:val="1"/>
      <w:marLeft w:val="0"/>
      <w:marRight w:val="0"/>
      <w:marTop w:val="0"/>
      <w:marBottom w:val="0"/>
      <w:divBdr>
        <w:top w:val="none" w:sz="0" w:space="0" w:color="auto"/>
        <w:left w:val="none" w:sz="0" w:space="0" w:color="auto"/>
        <w:bottom w:val="none" w:sz="0" w:space="0" w:color="auto"/>
        <w:right w:val="none" w:sz="0" w:space="0" w:color="auto"/>
      </w:divBdr>
    </w:div>
    <w:div w:id="1601836305">
      <w:bodyDiv w:val="1"/>
      <w:marLeft w:val="0"/>
      <w:marRight w:val="0"/>
      <w:marTop w:val="0"/>
      <w:marBottom w:val="0"/>
      <w:divBdr>
        <w:top w:val="none" w:sz="0" w:space="0" w:color="auto"/>
        <w:left w:val="none" w:sz="0" w:space="0" w:color="auto"/>
        <w:bottom w:val="none" w:sz="0" w:space="0" w:color="auto"/>
        <w:right w:val="none" w:sz="0" w:space="0" w:color="auto"/>
      </w:divBdr>
    </w:div>
    <w:div w:id="1612127523">
      <w:bodyDiv w:val="1"/>
      <w:marLeft w:val="0"/>
      <w:marRight w:val="0"/>
      <w:marTop w:val="0"/>
      <w:marBottom w:val="0"/>
      <w:divBdr>
        <w:top w:val="none" w:sz="0" w:space="0" w:color="auto"/>
        <w:left w:val="none" w:sz="0" w:space="0" w:color="auto"/>
        <w:bottom w:val="none" w:sz="0" w:space="0" w:color="auto"/>
        <w:right w:val="none" w:sz="0" w:space="0" w:color="auto"/>
      </w:divBdr>
    </w:div>
    <w:div w:id="1651053838">
      <w:bodyDiv w:val="1"/>
      <w:marLeft w:val="0"/>
      <w:marRight w:val="0"/>
      <w:marTop w:val="0"/>
      <w:marBottom w:val="0"/>
      <w:divBdr>
        <w:top w:val="none" w:sz="0" w:space="0" w:color="auto"/>
        <w:left w:val="none" w:sz="0" w:space="0" w:color="auto"/>
        <w:bottom w:val="none" w:sz="0" w:space="0" w:color="auto"/>
        <w:right w:val="none" w:sz="0" w:space="0" w:color="auto"/>
      </w:divBdr>
    </w:div>
    <w:div w:id="1671829085">
      <w:bodyDiv w:val="1"/>
      <w:marLeft w:val="0"/>
      <w:marRight w:val="0"/>
      <w:marTop w:val="0"/>
      <w:marBottom w:val="0"/>
      <w:divBdr>
        <w:top w:val="none" w:sz="0" w:space="0" w:color="auto"/>
        <w:left w:val="none" w:sz="0" w:space="0" w:color="auto"/>
        <w:bottom w:val="none" w:sz="0" w:space="0" w:color="auto"/>
        <w:right w:val="none" w:sz="0" w:space="0" w:color="auto"/>
      </w:divBdr>
    </w:div>
    <w:div w:id="1687097575">
      <w:bodyDiv w:val="1"/>
      <w:marLeft w:val="0"/>
      <w:marRight w:val="0"/>
      <w:marTop w:val="0"/>
      <w:marBottom w:val="0"/>
      <w:divBdr>
        <w:top w:val="none" w:sz="0" w:space="0" w:color="auto"/>
        <w:left w:val="none" w:sz="0" w:space="0" w:color="auto"/>
        <w:bottom w:val="none" w:sz="0" w:space="0" w:color="auto"/>
        <w:right w:val="none" w:sz="0" w:space="0" w:color="auto"/>
      </w:divBdr>
    </w:div>
    <w:div w:id="1696156156">
      <w:bodyDiv w:val="1"/>
      <w:marLeft w:val="0"/>
      <w:marRight w:val="0"/>
      <w:marTop w:val="0"/>
      <w:marBottom w:val="0"/>
      <w:divBdr>
        <w:top w:val="none" w:sz="0" w:space="0" w:color="auto"/>
        <w:left w:val="none" w:sz="0" w:space="0" w:color="auto"/>
        <w:bottom w:val="none" w:sz="0" w:space="0" w:color="auto"/>
        <w:right w:val="none" w:sz="0" w:space="0" w:color="auto"/>
      </w:divBdr>
    </w:div>
    <w:div w:id="1715108954">
      <w:bodyDiv w:val="1"/>
      <w:marLeft w:val="0"/>
      <w:marRight w:val="0"/>
      <w:marTop w:val="0"/>
      <w:marBottom w:val="0"/>
      <w:divBdr>
        <w:top w:val="none" w:sz="0" w:space="0" w:color="auto"/>
        <w:left w:val="none" w:sz="0" w:space="0" w:color="auto"/>
        <w:bottom w:val="none" w:sz="0" w:space="0" w:color="auto"/>
        <w:right w:val="none" w:sz="0" w:space="0" w:color="auto"/>
      </w:divBdr>
    </w:div>
    <w:div w:id="1735197265">
      <w:bodyDiv w:val="1"/>
      <w:marLeft w:val="0"/>
      <w:marRight w:val="0"/>
      <w:marTop w:val="0"/>
      <w:marBottom w:val="0"/>
      <w:divBdr>
        <w:top w:val="none" w:sz="0" w:space="0" w:color="auto"/>
        <w:left w:val="none" w:sz="0" w:space="0" w:color="auto"/>
        <w:bottom w:val="none" w:sz="0" w:space="0" w:color="auto"/>
        <w:right w:val="none" w:sz="0" w:space="0" w:color="auto"/>
      </w:divBdr>
    </w:div>
    <w:div w:id="1749881717">
      <w:bodyDiv w:val="1"/>
      <w:marLeft w:val="0"/>
      <w:marRight w:val="0"/>
      <w:marTop w:val="0"/>
      <w:marBottom w:val="0"/>
      <w:divBdr>
        <w:top w:val="none" w:sz="0" w:space="0" w:color="auto"/>
        <w:left w:val="none" w:sz="0" w:space="0" w:color="auto"/>
        <w:bottom w:val="none" w:sz="0" w:space="0" w:color="auto"/>
        <w:right w:val="none" w:sz="0" w:space="0" w:color="auto"/>
      </w:divBdr>
    </w:div>
    <w:div w:id="1756130328">
      <w:bodyDiv w:val="1"/>
      <w:marLeft w:val="0"/>
      <w:marRight w:val="0"/>
      <w:marTop w:val="0"/>
      <w:marBottom w:val="0"/>
      <w:divBdr>
        <w:top w:val="none" w:sz="0" w:space="0" w:color="auto"/>
        <w:left w:val="none" w:sz="0" w:space="0" w:color="auto"/>
        <w:bottom w:val="none" w:sz="0" w:space="0" w:color="auto"/>
        <w:right w:val="none" w:sz="0" w:space="0" w:color="auto"/>
      </w:divBdr>
    </w:div>
    <w:div w:id="1817643199">
      <w:bodyDiv w:val="1"/>
      <w:marLeft w:val="0"/>
      <w:marRight w:val="0"/>
      <w:marTop w:val="0"/>
      <w:marBottom w:val="0"/>
      <w:divBdr>
        <w:top w:val="none" w:sz="0" w:space="0" w:color="auto"/>
        <w:left w:val="none" w:sz="0" w:space="0" w:color="auto"/>
        <w:bottom w:val="none" w:sz="0" w:space="0" w:color="auto"/>
        <w:right w:val="none" w:sz="0" w:space="0" w:color="auto"/>
      </w:divBdr>
    </w:div>
    <w:div w:id="1833132620">
      <w:bodyDiv w:val="1"/>
      <w:marLeft w:val="0"/>
      <w:marRight w:val="0"/>
      <w:marTop w:val="0"/>
      <w:marBottom w:val="0"/>
      <w:divBdr>
        <w:top w:val="none" w:sz="0" w:space="0" w:color="auto"/>
        <w:left w:val="none" w:sz="0" w:space="0" w:color="auto"/>
        <w:bottom w:val="none" w:sz="0" w:space="0" w:color="auto"/>
        <w:right w:val="none" w:sz="0" w:space="0" w:color="auto"/>
      </w:divBdr>
    </w:div>
    <w:div w:id="1850489277">
      <w:bodyDiv w:val="1"/>
      <w:marLeft w:val="0"/>
      <w:marRight w:val="0"/>
      <w:marTop w:val="0"/>
      <w:marBottom w:val="0"/>
      <w:divBdr>
        <w:top w:val="none" w:sz="0" w:space="0" w:color="auto"/>
        <w:left w:val="none" w:sz="0" w:space="0" w:color="auto"/>
        <w:bottom w:val="none" w:sz="0" w:space="0" w:color="auto"/>
        <w:right w:val="none" w:sz="0" w:space="0" w:color="auto"/>
      </w:divBdr>
    </w:div>
    <w:div w:id="1861238127">
      <w:bodyDiv w:val="1"/>
      <w:marLeft w:val="0"/>
      <w:marRight w:val="0"/>
      <w:marTop w:val="0"/>
      <w:marBottom w:val="0"/>
      <w:divBdr>
        <w:top w:val="none" w:sz="0" w:space="0" w:color="auto"/>
        <w:left w:val="none" w:sz="0" w:space="0" w:color="auto"/>
        <w:bottom w:val="none" w:sz="0" w:space="0" w:color="auto"/>
        <w:right w:val="none" w:sz="0" w:space="0" w:color="auto"/>
      </w:divBdr>
    </w:div>
    <w:div w:id="1870677628">
      <w:bodyDiv w:val="1"/>
      <w:marLeft w:val="0"/>
      <w:marRight w:val="0"/>
      <w:marTop w:val="0"/>
      <w:marBottom w:val="0"/>
      <w:divBdr>
        <w:top w:val="none" w:sz="0" w:space="0" w:color="auto"/>
        <w:left w:val="none" w:sz="0" w:space="0" w:color="auto"/>
        <w:bottom w:val="none" w:sz="0" w:space="0" w:color="auto"/>
        <w:right w:val="none" w:sz="0" w:space="0" w:color="auto"/>
      </w:divBdr>
    </w:div>
    <w:div w:id="1873376968">
      <w:bodyDiv w:val="1"/>
      <w:marLeft w:val="0"/>
      <w:marRight w:val="0"/>
      <w:marTop w:val="0"/>
      <w:marBottom w:val="0"/>
      <w:divBdr>
        <w:top w:val="none" w:sz="0" w:space="0" w:color="auto"/>
        <w:left w:val="none" w:sz="0" w:space="0" w:color="auto"/>
        <w:bottom w:val="none" w:sz="0" w:space="0" w:color="auto"/>
        <w:right w:val="none" w:sz="0" w:space="0" w:color="auto"/>
      </w:divBdr>
    </w:div>
    <w:div w:id="1911573125">
      <w:bodyDiv w:val="1"/>
      <w:marLeft w:val="0"/>
      <w:marRight w:val="0"/>
      <w:marTop w:val="0"/>
      <w:marBottom w:val="0"/>
      <w:divBdr>
        <w:top w:val="none" w:sz="0" w:space="0" w:color="auto"/>
        <w:left w:val="none" w:sz="0" w:space="0" w:color="auto"/>
        <w:bottom w:val="none" w:sz="0" w:space="0" w:color="auto"/>
        <w:right w:val="none" w:sz="0" w:space="0" w:color="auto"/>
      </w:divBdr>
    </w:div>
    <w:div w:id="1931038566">
      <w:bodyDiv w:val="1"/>
      <w:marLeft w:val="0"/>
      <w:marRight w:val="0"/>
      <w:marTop w:val="0"/>
      <w:marBottom w:val="0"/>
      <w:divBdr>
        <w:top w:val="none" w:sz="0" w:space="0" w:color="auto"/>
        <w:left w:val="none" w:sz="0" w:space="0" w:color="auto"/>
        <w:bottom w:val="none" w:sz="0" w:space="0" w:color="auto"/>
        <w:right w:val="none" w:sz="0" w:space="0" w:color="auto"/>
      </w:divBdr>
    </w:div>
    <w:div w:id="2043050566">
      <w:bodyDiv w:val="1"/>
      <w:marLeft w:val="0"/>
      <w:marRight w:val="0"/>
      <w:marTop w:val="0"/>
      <w:marBottom w:val="0"/>
      <w:divBdr>
        <w:top w:val="none" w:sz="0" w:space="0" w:color="auto"/>
        <w:left w:val="none" w:sz="0" w:space="0" w:color="auto"/>
        <w:bottom w:val="none" w:sz="0" w:space="0" w:color="auto"/>
        <w:right w:val="none" w:sz="0" w:space="0" w:color="auto"/>
      </w:divBdr>
    </w:div>
    <w:div w:id="2060544095">
      <w:bodyDiv w:val="1"/>
      <w:marLeft w:val="0"/>
      <w:marRight w:val="0"/>
      <w:marTop w:val="0"/>
      <w:marBottom w:val="0"/>
      <w:divBdr>
        <w:top w:val="none" w:sz="0" w:space="0" w:color="auto"/>
        <w:left w:val="none" w:sz="0" w:space="0" w:color="auto"/>
        <w:bottom w:val="none" w:sz="0" w:space="0" w:color="auto"/>
        <w:right w:val="none" w:sz="0" w:space="0" w:color="auto"/>
      </w:divBdr>
    </w:div>
    <w:div w:id="2087264269">
      <w:bodyDiv w:val="1"/>
      <w:marLeft w:val="0"/>
      <w:marRight w:val="0"/>
      <w:marTop w:val="0"/>
      <w:marBottom w:val="0"/>
      <w:divBdr>
        <w:top w:val="none" w:sz="0" w:space="0" w:color="auto"/>
        <w:left w:val="none" w:sz="0" w:space="0" w:color="auto"/>
        <w:bottom w:val="none" w:sz="0" w:space="0" w:color="auto"/>
        <w:right w:val="none" w:sz="0" w:space="0" w:color="auto"/>
      </w:divBdr>
    </w:div>
    <w:div w:id="2109495919">
      <w:bodyDiv w:val="1"/>
      <w:marLeft w:val="0"/>
      <w:marRight w:val="0"/>
      <w:marTop w:val="0"/>
      <w:marBottom w:val="0"/>
      <w:divBdr>
        <w:top w:val="none" w:sz="0" w:space="0" w:color="auto"/>
        <w:left w:val="none" w:sz="0" w:space="0" w:color="auto"/>
        <w:bottom w:val="none" w:sz="0" w:space="0" w:color="auto"/>
        <w:right w:val="none" w:sz="0" w:space="0" w:color="auto"/>
      </w:divBdr>
    </w:div>
    <w:div w:id="211802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chart" Target="charts/chart17.xml"/><Relationship Id="rId21" Type="http://schemas.openxmlformats.org/officeDocument/2006/relationships/chart" Target="charts/chart7.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g"/><Relationship Id="rId14" Type="http://schemas.microsoft.com/office/2014/relationships/chartEx" Target="charts/chartEx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8" Type="http://schemas.openxmlformats.org/officeDocument/2006/relationships/image" Target="media/image1.jpe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19.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image" Target="media/image3.jp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oleObject" Target="file:///\\nas2\Uffici\Ricerca%20Studi%20e%20Ambiente\Pubblicazioni,%20eventi%20e%20media\Pubblicazioni%20per%20esterni\Indagini%20internazionalizzazione%20e%20contributi%20export\Confindustria%20Veneto%20Est%202023\Dati%20Venet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Cartel2"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nas2\Uffici\Ricerca%20Studi%20e%20Ambiente\Pubblicazioni,%20eventi%20e%20media\Pubblicazioni%20per%20esterni\Indagini%20internazionalizzazione%20e%20contributi%20export\Confindustria%20Veneto%20Est%202023\Dati%20Veneto.xlsx" TargetMode="External"/><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Elaborazioni%20Gianluca.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Inviato/Revisione%20grafici%20e%20tabelle.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fondazionenordest-my.sharepoint.com/personal/g_toschi_fondazionenordest_onmicrosoft_com/Documents/_Fondazione/2023/2023%20Veneto%20Est/Internazionalizzazione%20VE/Dati%20VE%20elaborati.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nas2\Uffici\Ricerca%20Studi%20e%20Ambiente\Pubblicazioni,%20eventi%20e%20media\Pubblicazioni%20per%20esterni\Indagini%20internazionalizzazione%20e%20contributi%20export\Confindustria%20Veneto%20Est%202023\Dati%20Vene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'Grafico Y'!$B$2</c:f>
              <c:strCache>
                <c:ptCount val="1"/>
                <c:pt idx="0">
                  <c:v>peso %</c:v>
                </c:pt>
              </c:strCache>
            </c:strRef>
          </c:tx>
          <c:spPr>
            <a:solidFill>
              <a:schemeClr val="accent1"/>
            </a:solidFill>
            <a:ln>
              <a:noFill/>
            </a:ln>
            <a:effectLst/>
          </c:spPr>
          <c:invertIfNegative val="0"/>
          <c:dPt>
            <c:idx val="8"/>
            <c:invertIfNegative val="0"/>
            <c:bubble3D val="0"/>
            <c:spPr>
              <a:solidFill>
                <a:schemeClr val="accent1">
                  <a:lumMod val="50000"/>
                </a:schemeClr>
              </a:solidFill>
              <a:ln>
                <a:noFill/>
              </a:ln>
              <a:effectLst/>
            </c:spPr>
            <c:extLst>
              <c:ext xmlns:c16="http://schemas.microsoft.com/office/drawing/2014/chart" uri="{C3380CC4-5D6E-409C-BE32-E72D297353CC}">
                <c16:uniqueId val="{00000001-308E-41E4-94FE-5D7EA4CEEDC3}"/>
              </c:ext>
            </c:extLst>
          </c:dPt>
          <c:cat>
            <c:strRef>
              <c:f>'Grafico Y'!$A$3:$A$19</c:f>
              <c:strCache>
                <c:ptCount val="17"/>
                <c:pt idx="0">
                  <c:v>Farmaceutica</c:v>
                </c:pt>
                <c:pt idx="1">
                  <c:v>Raffinati</c:v>
                </c:pt>
                <c:pt idx="2">
                  <c:v>Estrattiva</c:v>
                </c:pt>
                <c:pt idx="3">
                  <c:v>Mezzi di trasporto</c:v>
                </c:pt>
                <c:pt idx="4">
                  <c:v>Altri settori esportativi</c:v>
                </c:pt>
                <c:pt idx="5">
                  <c:v>Apparecchi elettronici</c:v>
                </c:pt>
                <c:pt idx="6">
                  <c:v>Prodotti chimici</c:v>
                </c:pt>
                <c:pt idx="7">
                  <c:v>Prodotti agricoli</c:v>
                </c:pt>
                <c:pt idx="8">
                  <c:v>Totale</c:v>
                </c:pt>
                <c:pt idx="9">
                  <c:v>Prodotti in metallo</c:v>
                </c:pt>
                <c:pt idx="10">
                  <c:v>Gomma e plastica</c:v>
                </c:pt>
                <c:pt idx="11">
                  <c:v>Alimentari e bevande</c:v>
                </c:pt>
                <c:pt idx="12">
                  <c:v>Meccanica strumentale</c:v>
                </c:pt>
                <c:pt idx="13">
                  <c:v>Tessile e abbigliamento</c:v>
                </c:pt>
                <c:pt idx="14">
                  <c:v>Legno, carta e stampa</c:v>
                </c:pt>
                <c:pt idx="15">
                  <c:v>Apparecchi elettrici</c:v>
                </c:pt>
                <c:pt idx="16">
                  <c:v>Altra manifattura</c:v>
                </c:pt>
              </c:strCache>
            </c:strRef>
          </c:cat>
          <c:val>
            <c:numRef>
              <c:f>'Grafico Y'!$B$3:$B$19</c:f>
              <c:numCache>
                <c:formatCode>0.0%</c:formatCode>
                <c:ptCount val="17"/>
                <c:pt idx="0">
                  <c:v>1.9423360682445268E-2</c:v>
                </c:pt>
                <c:pt idx="1">
                  <c:v>2.5811705652204007E-2</c:v>
                </c:pt>
                <c:pt idx="2">
                  <c:v>2.9803749842381856E-2</c:v>
                </c:pt>
                <c:pt idx="3">
                  <c:v>5.0436698920132333E-2</c:v>
                </c:pt>
                <c:pt idx="4">
                  <c:v>6.1386827456827942E-2</c:v>
                </c:pt>
                <c:pt idx="5">
                  <c:v>6.9941456599490234E-2</c:v>
                </c:pt>
                <c:pt idx="6">
                  <c:v>7.1297948188888627E-2</c:v>
                </c:pt>
                <c:pt idx="7">
                  <c:v>0.12027429864867049</c:v>
                </c:pt>
                <c:pt idx="8">
                  <c:v>0.13125892308144418</c:v>
                </c:pt>
                <c:pt idx="9">
                  <c:v>0.13142269700048637</c:v>
                </c:pt>
                <c:pt idx="10">
                  <c:v>0.14848969726061279</c:v>
                </c:pt>
                <c:pt idx="11">
                  <c:v>0.15248752813099842</c:v>
                </c:pt>
                <c:pt idx="12">
                  <c:v>0.16211150360841295</c:v>
                </c:pt>
                <c:pt idx="13">
                  <c:v>0.18648394281164019</c:v>
                </c:pt>
                <c:pt idx="14">
                  <c:v>0.19059517291375883</c:v>
                </c:pt>
                <c:pt idx="15">
                  <c:v>0.2131995393560871</c:v>
                </c:pt>
                <c:pt idx="16">
                  <c:v>0.335721169649005</c:v>
                </c:pt>
              </c:numCache>
            </c:numRef>
          </c:val>
          <c:extLst>
            <c:ext xmlns:c16="http://schemas.microsoft.com/office/drawing/2014/chart" uri="{C3380CC4-5D6E-409C-BE32-E72D297353CC}">
              <c16:uniqueId val="{00000002-308E-41E4-94FE-5D7EA4CEEDC3}"/>
            </c:ext>
          </c:extLst>
        </c:ser>
        <c:dLbls>
          <c:showLegendKey val="0"/>
          <c:showVal val="0"/>
          <c:showCatName val="0"/>
          <c:showSerName val="0"/>
          <c:showPercent val="0"/>
          <c:showBubbleSize val="0"/>
        </c:dLbls>
        <c:gapWidth val="182"/>
        <c:axId val="139550976"/>
        <c:axId val="1879577488"/>
      </c:barChart>
      <c:catAx>
        <c:axId val="13955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79577488"/>
        <c:crosses val="autoZero"/>
        <c:auto val="1"/>
        <c:lblAlgn val="ctr"/>
        <c:lblOffset val="100"/>
        <c:noMultiLvlLbl val="0"/>
      </c:catAx>
      <c:valAx>
        <c:axId val="1879577488"/>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55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'[Dati VE elaborati.xlsx]Export'!$P$231</c:f>
              <c:strCache>
                <c:ptCount val="1"/>
                <c:pt idx="0">
                  <c:v>Metalmeccanico</c:v>
                </c:pt>
              </c:strCache>
            </c:strRef>
          </c:tx>
          <c:spPr>
            <a:solidFill>
              <a:schemeClr val="accent1"/>
            </a:solidFill>
            <a:ln>
              <a:noFill/>
            </a:ln>
            <a:effectLst/>
          </c:spPr>
          <c:invertIfNegative val="0"/>
          <c:cat>
            <c:strRef>
              <c:f>'[Dati VE elaborati.xlsx]Export'!$O$232:$O$241</c:f>
              <c:strCache>
                <c:ptCount val="10"/>
                <c:pt idx="0">
                  <c:v>Paesi Bassi (Olanda)</c:v>
                </c:pt>
                <c:pt idx="1">
                  <c:v>Polonia</c:v>
                </c:pt>
                <c:pt idx="2">
                  <c:v>Emirati Arabi Uniti</c:v>
                </c:pt>
                <c:pt idx="3">
                  <c:v>Austria</c:v>
                </c:pt>
                <c:pt idx="4">
                  <c:v>Regno Unito</c:v>
                </c:pt>
                <c:pt idx="5">
                  <c:v>Spagna</c:v>
                </c:pt>
                <c:pt idx="6">
                  <c:v>Svizzera</c:v>
                </c:pt>
                <c:pt idx="7">
                  <c:v>Francia</c:v>
                </c:pt>
                <c:pt idx="8">
                  <c:v>Stati Uniti d'America</c:v>
                </c:pt>
                <c:pt idx="9">
                  <c:v>Germania</c:v>
                </c:pt>
              </c:strCache>
            </c:strRef>
          </c:cat>
          <c:val>
            <c:numRef>
              <c:f>'[Dati VE elaborati.xlsx]Export'!$P$232:$P$241</c:f>
              <c:numCache>
                <c:formatCode>General</c:formatCode>
                <c:ptCount val="10"/>
                <c:pt idx="0">
                  <c:v>4.224819658272132</c:v>
                </c:pt>
                <c:pt idx="1">
                  <c:v>3.4832394921134346</c:v>
                </c:pt>
                <c:pt idx="2">
                  <c:v>3.0904802935874889</c:v>
                </c:pt>
                <c:pt idx="3">
                  <c:v>3.7409360655378858</c:v>
                </c:pt>
                <c:pt idx="4">
                  <c:v>4.993829604837817</c:v>
                </c:pt>
                <c:pt idx="5">
                  <c:v>7.8565648907976859</c:v>
                </c:pt>
                <c:pt idx="6">
                  <c:v>6.3417688520451962</c:v>
                </c:pt>
                <c:pt idx="7">
                  <c:v>5.1838150680178714</c:v>
                </c:pt>
                <c:pt idx="8">
                  <c:v>4.4115294946795238</c:v>
                </c:pt>
                <c:pt idx="9">
                  <c:v>7.130405722341898</c:v>
                </c:pt>
              </c:numCache>
            </c:numRef>
          </c:val>
          <c:extLst>
            <c:ext xmlns:c16="http://schemas.microsoft.com/office/drawing/2014/chart" uri="{C3380CC4-5D6E-409C-BE32-E72D297353CC}">
              <c16:uniqueId val="{00000000-1D4E-4148-A60E-7DEECA13D1DF}"/>
            </c:ext>
          </c:extLst>
        </c:ser>
        <c:ser>
          <c:idx val="1"/>
          <c:order val="1"/>
          <c:tx>
            <c:strRef>
              <c:f>'[Dati VE elaborati.xlsx]Export'!$Q$231</c:f>
              <c:strCache>
                <c:ptCount val="1"/>
                <c:pt idx="0">
                  <c:v>altro</c:v>
                </c:pt>
              </c:strCache>
            </c:strRef>
          </c:tx>
          <c:spPr>
            <a:solidFill>
              <a:schemeClr val="accent2"/>
            </a:solidFill>
            <a:ln>
              <a:noFill/>
            </a:ln>
            <a:effectLst/>
          </c:spPr>
          <c:invertIfNegative val="0"/>
          <c:cat>
            <c:strRef>
              <c:f>'[Dati VE elaborati.xlsx]Export'!$O$232:$O$241</c:f>
              <c:strCache>
                <c:ptCount val="10"/>
                <c:pt idx="0">
                  <c:v>Paesi Bassi (Olanda)</c:v>
                </c:pt>
                <c:pt idx="1">
                  <c:v>Polonia</c:v>
                </c:pt>
                <c:pt idx="2">
                  <c:v>Emirati Arabi Uniti</c:v>
                </c:pt>
                <c:pt idx="3">
                  <c:v>Austria</c:v>
                </c:pt>
                <c:pt idx="4">
                  <c:v>Regno Unito</c:v>
                </c:pt>
                <c:pt idx="5">
                  <c:v>Spagna</c:v>
                </c:pt>
                <c:pt idx="6">
                  <c:v>Svizzera</c:v>
                </c:pt>
                <c:pt idx="7">
                  <c:v>Francia</c:v>
                </c:pt>
                <c:pt idx="8">
                  <c:v>Stati Uniti d'America</c:v>
                </c:pt>
                <c:pt idx="9">
                  <c:v>Germania</c:v>
                </c:pt>
              </c:strCache>
            </c:strRef>
          </c:cat>
          <c:val>
            <c:numRef>
              <c:f>'[Dati VE elaborati.xlsx]Export'!$Q$232:$Q$241</c:f>
              <c:numCache>
                <c:formatCode>General</c:formatCode>
                <c:ptCount val="10"/>
                <c:pt idx="0">
                  <c:v>1.9889026616996992</c:v>
                </c:pt>
                <c:pt idx="1">
                  <c:v>2.7621092205610447</c:v>
                </c:pt>
                <c:pt idx="2">
                  <c:v>3.7927079351968698</c:v>
                </c:pt>
                <c:pt idx="3">
                  <c:v>4.6464133408138046</c:v>
                </c:pt>
                <c:pt idx="4">
                  <c:v>7.8958147046109328</c:v>
                </c:pt>
                <c:pt idx="5">
                  <c:v>5.6882711365955334</c:v>
                </c:pt>
                <c:pt idx="6">
                  <c:v>7.7978032954406862</c:v>
                </c:pt>
                <c:pt idx="7">
                  <c:v>8.8867441181175817</c:v>
                </c:pt>
                <c:pt idx="8">
                  <c:v>9.8320315090190391</c:v>
                </c:pt>
                <c:pt idx="9">
                  <c:v>11.005485846473274</c:v>
                </c:pt>
              </c:numCache>
            </c:numRef>
          </c:val>
          <c:extLst>
            <c:ext xmlns:c16="http://schemas.microsoft.com/office/drawing/2014/chart" uri="{C3380CC4-5D6E-409C-BE32-E72D297353CC}">
              <c16:uniqueId val="{00000001-1D4E-4148-A60E-7DEECA13D1DF}"/>
            </c:ext>
          </c:extLst>
        </c:ser>
        <c:dLbls>
          <c:showLegendKey val="0"/>
          <c:showVal val="0"/>
          <c:showCatName val="0"/>
          <c:showSerName val="0"/>
          <c:showPercent val="0"/>
          <c:showBubbleSize val="0"/>
        </c:dLbls>
        <c:gapWidth val="182"/>
        <c:axId val="683733392"/>
        <c:axId val="876036704"/>
      </c:barChart>
      <c:catAx>
        <c:axId val="68373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876036704"/>
        <c:crosses val="autoZero"/>
        <c:auto val="1"/>
        <c:lblAlgn val="ctr"/>
        <c:lblOffset val="100"/>
        <c:noMultiLvlLbl val="0"/>
      </c:catAx>
      <c:valAx>
        <c:axId val="876036704"/>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8373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Gianluca.xlsx]Pivot'!$H$46:$H$48</c:f>
              <c:strCache>
                <c:ptCount val="3"/>
                <c:pt idx="0">
                  <c:v>Sì</c:v>
                </c:pt>
                <c:pt idx="1">
                  <c:v>No</c:v>
                </c:pt>
                <c:pt idx="2">
                  <c:v>Non risponde</c:v>
                </c:pt>
              </c:strCache>
            </c:strRef>
          </c:cat>
          <c:val>
            <c:numRef>
              <c:f>'[Elaborazioni Gianluca.xlsx]Pivot'!$I$46:$I$48</c:f>
              <c:numCache>
                <c:formatCode>0.00%</c:formatCode>
                <c:ptCount val="3"/>
                <c:pt idx="0">
                  <c:v>0.28184230526541798</c:v>
                </c:pt>
                <c:pt idx="1">
                  <c:v>0.66753393692254992</c:v>
                </c:pt>
                <c:pt idx="2">
                  <c:v>5.0623757812032211E-2</c:v>
                </c:pt>
              </c:numCache>
            </c:numRef>
          </c:val>
          <c:extLst>
            <c:ext xmlns:c16="http://schemas.microsoft.com/office/drawing/2014/chart" uri="{C3380CC4-5D6E-409C-BE32-E72D297353CC}">
              <c16:uniqueId val="{00000000-3C28-4313-A1FE-6062C4C8FAD9}"/>
            </c:ext>
          </c:extLst>
        </c:ser>
        <c:dLbls>
          <c:showLegendKey val="0"/>
          <c:showVal val="0"/>
          <c:showCatName val="0"/>
          <c:showSerName val="0"/>
          <c:showPercent val="0"/>
          <c:showBubbleSize val="0"/>
        </c:dLbls>
        <c:gapWidth val="182"/>
        <c:axId val="553290480"/>
        <c:axId val="675952832"/>
      </c:barChart>
      <c:catAx>
        <c:axId val="553290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75952832"/>
        <c:crosses val="autoZero"/>
        <c:auto val="1"/>
        <c:lblAlgn val="ctr"/>
        <c:lblOffset val="100"/>
        <c:noMultiLvlLbl val="0"/>
      </c:catAx>
      <c:valAx>
        <c:axId val="675952832"/>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53290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Gianluca.xlsx]Pivot'!$M$53:$M$56</c:f>
              <c:strCache>
                <c:ptCount val="4"/>
                <c:pt idx="0">
                  <c:v>Più vicini in Italia</c:v>
                </c:pt>
                <c:pt idx="1">
                  <c:v>Più vicini, fuori dall'Italia</c:v>
                </c:pt>
                <c:pt idx="2">
                  <c:v>Più lontani, in Europa</c:v>
                </c:pt>
                <c:pt idx="3">
                  <c:v>Più lontani, fuori dall'Europa</c:v>
                </c:pt>
              </c:strCache>
            </c:strRef>
          </c:cat>
          <c:val>
            <c:numRef>
              <c:f>'[Elaborazioni Gianluca.xlsx]Pivot'!$N$53:$N$56</c:f>
              <c:numCache>
                <c:formatCode>0.0</c:formatCode>
                <c:ptCount val="4"/>
                <c:pt idx="0">
                  <c:v>53.22479307295329</c:v>
                </c:pt>
                <c:pt idx="1">
                  <c:v>10.262819911522792</c:v>
                </c:pt>
                <c:pt idx="2">
                  <c:v>15.736225840768171</c:v>
                </c:pt>
                <c:pt idx="3">
                  <c:v>20.776161174755742</c:v>
                </c:pt>
              </c:numCache>
            </c:numRef>
          </c:val>
          <c:extLst>
            <c:ext xmlns:c16="http://schemas.microsoft.com/office/drawing/2014/chart" uri="{C3380CC4-5D6E-409C-BE32-E72D297353CC}">
              <c16:uniqueId val="{00000000-8958-4D06-A1FE-55D8CE4BB4FC}"/>
            </c:ext>
          </c:extLst>
        </c:ser>
        <c:dLbls>
          <c:showLegendKey val="0"/>
          <c:showVal val="0"/>
          <c:showCatName val="0"/>
          <c:showSerName val="0"/>
          <c:showPercent val="0"/>
          <c:showBubbleSize val="0"/>
        </c:dLbls>
        <c:gapWidth val="182"/>
        <c:axId val="443133936"/>
        <c:axId val="2003417008"/>
      </c:barChart>
      <c:catAx>
        <c:axId val="443133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03417008"/>
        <c:crosses val="autoZero"/>
        <c:auto val="1"/>
        <c:lblAlgn val="ctr"/>
        <c:lblOffset val="100"/>
        <c:noMultiLvlLbl val="0"/>
      </c:catAx>
      <c:valAx>
        <c:axId val="2003417008"/>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3133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'[Revisione grafici e tabelle.xlsx]Figura 5.1'!$C$2</c:f>
              <c:strCache>
                <c:ptCount val="1"/>
              </c:strCache>
            </c:strRef>
          </c:tx>
          <c:spPr>
            <a:solidFill>
              <a:schemeClr val="accent6">
                <a:lumMod val="50000"/>
              </a:schemeClr>
            </a:solidFill>
          </c:spPr>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1-1DFE-4B4B-A3E3-6BDD29608379}"/>
              </c:ext>
            </c:extLst>
          </c:dPt>
          <c:dPt>
            <c:idx val="1"/>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3-1DFE-4B4B-A3E3-6BDD29608379}"/>
              </c:ext>
            </c:extLst>
          </c:dPt>
          <c:dPt>
            <c:idx val="2"/>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5-1DFE-4B4B-A3E3-6BDD29608379}"/>
              </c:ext>
            </c:extLst>
          </c:dPt>
          <c:dPt>
            <c:idx val="3"/>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7-1DFE-4B4B-A3E3-6BDD29608379}"/>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1DFE-4B4B-A3E3-6BDD29608379}"/>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1DFE-4B4B-A3E3-6BDD29608379}"/>
              </c:ext>
            </c:extLst>
          </c:dPt>
          <c:dLbls>
            <c:dLbl>
              <c:idx val="2"/>
              <c:layout>
                <c:manualLayout>
                  <c:x val="-6.0639470782800443E-2"/>
                  <c:y val="-0.101686507936508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FE-4B4B-A3E3-6BDD29608379}"/>
                </c:ext>
              </c:extLst>
            </c:dLbl>
            <c:dLbl>
              <c:idx val="5"/>
              <c:layout>
                <c:manualLayout>
                  <c:x val="9.0040426313855199E-2"/>
                  <c:y val="8.92857142857142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FE-4B4B-A3E3-6BDD29608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'[Revisione grafici e tabelle.xlsx]Figura 5.1'!$B$3:$B$8</c:f>
              <c:strCache>
                <c:ptCount val="6"/>
                <c:pt idx="0">
                  <c:v>Molto importante</c:v>
                </c:pt>
                <c:pt idx="1">
                  <c:v>Importante</c:v>
                </c:pt>
                <c:pt idx="2">
                  <c:v>Importante e molto importante</c:v>
                </c:pt>
                <c:pt idx="3">
                  <c:v>Poco importante</c:v>
                </c:pt>
                <c:pt idx="4">
                  <c:v>Non importante</c:v>
                </c:pt>
                <c:pt idx="5">
                  <c:v>Poco o non importante</c:v>
                </c:pt>
              </c:strCache>
            </c:strRef>
          </c:cat>
          <c:val>
            <c:numRef>
              <c:f>'[Revisione grafici e tabelle.xlsx]Figura 5.1'!$C$3:$C$8</c:f>
              <c:numCache>
                <c:formatCode>General</c:formatCode>
                <c:ptCount val="6"/>
                <c:pt idx="2">
                  <c:v>83</c:v>
                </c:pt>
                <c:pt idx="5">
                  <c:v>17.2</c:v>
                </c:pt>
              </c:numCache>
            </c:numRef>
          </c:val>
          <c:extLst>
            <c:ext xmlns:c16="http://schemas.microsoft.com/office/drawing/2014/chart" uri="{C3380CC4-5D6E-409C-BE32-E72D297353CC}">
              <c16:uniqueId val="{0000000C-1DFE-4B4B-A3E3-6BDD29608379}"/>
            </c:ext>
          </c:extLst>
        </c:ser>
        <c:ser>
          <c:idx val="1"/>
          <c:order val="1"/>
          <c:tx>
            <c:strRef>
              <c:f>'[Revisione grafici e tabelle.xlsx]Figura 5.1'!$D$2</c:f>
              <c:strCache>
                <c:ptCount val="1"/>
              </c:strCache>
            </c:strRef>
          </c:tx>
          <c:dPt>
            <c:idx val="0"/>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E-1DFE-4B4B-A3E3-6BDD29608379}"/>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0-1DFE-4B4B-A3E3-6BDD296083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1DFE-4B4B-A3E3-6BDD29608379}"/>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14-1DFE-4B4B-A3E3-6BDD29608379}"/>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16-1DFE-4B4B-A3E3-6BDD296083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1DFE-4B4B-A3E3-6BDD29608379}"/>
              </c:ext>
            </c:extLst>
          </c:dPt>
          <c:dLbls>
            <c:dLbl>
              <c:idx val="0"/>
              <c:layout>
                <c:manualLayout>
                  <c:x val="0.13310338179090966"/>
                  <c:y val="-6.12717731807120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FE-4B4B-A3E3-6BDD29608379}"/>
                </c:ext>
              </c:extLst>
            </c:dLbl>
            <c:dLbl>
              <c:idx val="1"/>
              <c:layout>
                <c:manualLayout>
                  <c:x val="-1.9444444444444445E-2"/>
                  <c:y val="6.481481481481472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FE-4B4B-A3E3-6BDD29608379}"/>
                </c:ext>
              </c:extLst>
            </c:dLbl>
            <c:dLbl>
              <c:idx val="3"/>
              <c:layout>
                <c:manualLayout>
                  <c:x val="-8.6111111111111166E-2"/>
                  <c:y val="-5.09259259259259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FE-4B4B-A3E3-6BDD29608379}"/>
                </c:ext>
              </c:extLst>
            </c:dLbl>
            <c:dLbl>
              <c:idx val="4"/>
              <c:layout>
                <c:manualLayout>
                  <c:x val="-1.1111111111111059E-2"/>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FE-4B4B-A3E3-6BDD29608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'[Revisione grafici e tabelle.xlsx]Figura 5.1'!$B$3:$B$8</c:f>
              <c:strCache>
                <c:ptCount val="6"/>
                <c:pt idx="0">
                  <c:v>Molto importante</c:v>
                </c:pt>
                <c:pt idx="1">
                  <c:v>Importante</c:v>
                </c:pt>
                <c:pt idx="2">
                  <c:v>Importante e molto importante</c:v>
                </c:pt>
                <c:pt idx="3">
                  <c:v>Poco importante</c:v>
                </c:pt>
                <c:pt idx="4">
                  <c:v>Non importante</c:v>
                </c:pt>
                <c:pt idx="5">
                  <c:v>Poco o non importante</c:v>
                </c:pt>
              </c:strCache>
            </c:strRef>
          </c:cat>
          <c:val>
            <c:numRef>
              <c:f>'[Revisione grafici e tabelle.xlsx]Figura 5.1'!$D$3:$D$8</c:f>
              <c:numCache>
                <c:formatCode>General</c:formatCode>
                <c:ptCount val="6"/>
                <c:pt idx="0">
                  <c:v>23.7</c:v>
                </c:pt>
                <c:pt idx="1">
                  <c:v>59.3</c:v>
                </c:pt>
                <c:pt idx="3">
                  <c:v>13.3</c:v>
                </c:pt>
                <c:pt idx="4">
                  <c:v>3.9</c:v>
                </c:pt>
              </c:numCache>
            </c:numRef>
          </c:val>
          <c:extLst>
            <c:ext xmlns:c16="http://schemas.microsoft.com/office/drawing/2014/chart" uri="{C3380CC4-5D6E-409C-BE32-E72D297353CC}">
              <c16:uniqueId val="{00000019-1DFE-4B4B-A3E3-6BDD2960837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'[Revisione grafici e tabelle.xlsx]Figura 5.1'!$B$25</c:f>
              <c:strCache>
                <c:ptCount val="1"/>
                <c:pt idx="0">
                  <c:v>Molto importante</c:v>
                </c:pt>
              </c:strCache>
            </c:strRef>
          </c:tx>
          <c:spPr>
            <a:solidFill>
              <a:schemeClr val="accent6">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5.1'!$C$24:$G$24</c:f>
              <c:strCache>
                <c:ptCount val="5"/>
                <c:pt idx="0">
                  <c:v>fino a 2 </c:v>
                </c:pt>
                <c:pt idx="1">
                  <c:v>da 2 a 10 </c:v>
                </c:pt>
                <c:pt idx="2">
                  <c:v>da 10 a 25 </c:v>
                </c:pt>
                <c:pt idx="3">
                  <c:v>da 25 a 50 </c:v>
                </c:pt>
                <c:pt idx="4">
                  <c:v>oltre 50 </c:v>
                </c:pt>
              </c:strCache>
            </c:strRef>
          </c:cat>
          <c:val>
            <c:numRef>
              <c:f>'[Revisione grafici e tabelle.xlsx]Figura 5.1'!$C$25:$G$25</c:f>
              <c:numCache>
                <c:formatCode>0.00%</c:formatCode>
                <c:ptCount val="5"/>
                <c:pt idx="0">
                  <c:v>0.1741883724982857</c:v>
                </c:pt>
                <c:pt idx="1">
                  <c:v>0.19925679682832725</c:v>
                </c:pt>
                <c:pt idx="2">
                  <c:v>0.23435063404908901</c:v>
                </c:pt>
                <c:pt idx="3">
                  <c:v>0.23724705675278529</c:v>
                </c:pt>
                <c:pt idx="4">
                  <c:v>0.43373655300688013</c:v>
                </c:pt>
              </c:numCache>
            </c:numRef>
          </c:val>
          <c:extLst>
            <c:ext xmlns:c16="http://schemas.microsoft.com/office/drawing/2014/chart" uri="{C3380CC4-5D6E-409C-BE32-E72D297353CC}">
              <c16:uniqueId val="{00000000-B9B8-4849-A687-1D1585312026}"/>
            </c:ext>
          </c:extLst>
        </c:ser>
        <c:ser>
          <c:idx val="1"/>
          <c:order val="1"/>
          <c:tx>
            <c:strRef>
              <c:f>'[Revisione grafici e tabelle.xlsx]Figura 5.1'!$B$26</c:f>
              <c:strCache>
                <c:ptCount val="1"/>
                <c:pt idx="0">
                  <c:v>Importante</c:v>
                </c:pt>
              </c:strCache>
            </c:strRef>
          </c:tx>
          <c:spPr>
            <a:solidFill>
              <a:schemeClr val="accent6">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5.1'!$C$24:$G$24</c:f>
              <c:strCache>
                <c:ptCount val="5"/>
                <c:pt idx="0">
                  <c:v>fino a 2 </c:v>
                </c:pt>
                <c:pt idx="1">
                  <c:v>da 2 a 10 </c:v>
                </c:pt>
                <c:pt idx="2">
                  <c:v>da 10 a 25 </c:v>
                </c:pt>
                <c:pt idx="3">
                  <c:v>da 25 a 50 </c:v>
                </c:pt>
                <c:pt idx="4">
                  <c:v>oltre 50 </c:v>
                </c:pt>
              </c:strCache>
            </c:strRef>
          </c:cat>
          <c:val>
            <c:numRef>
              <c:f>'[Revisione grafici e tabelle.xlsx]Figura 5.1'!$C$26:$G$26</c:f>
              <c:numCache>
                <c:formatCode>0.00%</c:formatCode>
                <c:ptCount val="5"/>
                <c:pt idx="0">
                  <c:v>0.56025929706663324</c:v>
                </c:pt>
                <c:pt idx="1">
                  <c:v>0.53954602481801706</c:v>
                </c:pt>
                <c:pt idx="2">
                  <c:v>0.58579170842702277</c:v>
                </c:pt>
                <c:pt idx="3">
                  <c:v>0.64423427224005192</c:v>
                </c:pt>
                <c:pt idx="4">
                  <c:v>0.55050468303577316</c:v>
                </c:pt>
              </c:numCache>
            </c:numRef>
          </c:val>
          <c:extLst>
            <c:ext xmlns:c16="http://schemas.microsoft.com/office/drawing/2014/chart" uri="{C3380CC4-5D6E-409C-BE32-E72D297353CC}">
              <c16:uniqueId val="{00000001-B9B8-4849-A687-1D1585312026}"/>
            </c:ext>
          </c:extLst>
        </c:ser>
        <c:ser>
          <c:idx val="2"/>
          <c:order val="2"/>
          <c:tx>
            <c:strRef>
              <c:f>'[Revisione grafici e tabelle.xlsx]Figura 5.1'!$B$27</c:f>
              <c:strCache>
                <c:ptCount val="1"/>
                <c:pt idx="0">
                  <c:v>Poco importante</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5.1'!$C$24:$G$24</c:f>
              <c:strCache>
                <c:ptCount val="5"/>
                <c:pt idx="0">
                  <c:v>fino a 2 </c:v>
                </c:pt>
                <c:pt idx="1">
                  <c:v>da 2 a 10 </c:v>
                </c:pt>
                <c:pt idx="2">
                  <c:v>da 10 a 25 </c:v>
                </c:pt>
                <c:pt idx="3">
                  <c:v>da 25 a 50 </c:v>
                </c:pt>
                <c:pt idx="4">
                  <c:v>oltre 50 </c:v>
                </c:pt>
              </c:strCache>
            </c:strRef>
          </c:cat>
          <c:val>
            <c:numRef>
              <c:f>'[Revisione grafici e tabelle.xlsx]Figura 5.1'!$C$27:$G$27</c:f>
              <c:numCache>
                <c:formatCode>0.00%</c:formatCode>
                <c:ptCount val="5"/>
                <c:pt idx="0">
                  <c:v>0.17600734345212091</c:v>
                </c:pt>
                <c:pt idx="1">
                  <c:v>0.17536868178945306</c:v>
                </c:pt>
                <c:pt idx="2">
                  <c:v>0.15463460874118853</c:v>
                </c:pt>
                <c:pt idx="3">
                  <c:v>9.9055966536035892E-2</c:v>
                </c:pt>
                <c:pt idx="4">
                  <c:v>0</c:v>
                </c:pt>
              </c:numCache>
            </c:numRef>
          </c:val>
          <c:extLst>
            <c:ext xmlns:c16="http://schemas.microsoft.com/office/drawing/2014/chart" uri="{C3380CC4-5D6E-409C-BE32-E72D297353CC}">
              <c16:uniqueId val="{00000002-B9B8-4849-A687-1D1585312026}"/>
            </c:ext>
          </c:extLst>
        </c:ser>
        <c:ser>
          <c:idx val="3"/>
          <c:order val="3"/>
          <c:tx>
            <c:strRef>
              <c:f>'[Revisione grafici e tabelle.xlsx]Figura 5.1'!$B$28</c:f>
              <c:strCache>
                <c:ptCount val="1"/>
                <c:pt idx="0">
                  <c:v>Non importante</c:v>
                </c:pt>
              </c:strCache>
            </c:strRef>
          </c:tx>
          <c:spPr>
            <a:solidFill>
              <a:srgbClr val="FF0000"/>
            </a:solidFill>
            <a:ln>
              <a:noFill/>
            </a:ln>
            <a:effectLst/>
          </c:spPr>
          <c:invertIfNegative val="0"/>
          <c:dLbls>
            <c:dLbl>
              <c:idx val="2"/>
              <c:layout>
                <c:manualLayout>
                  <c:x val="3.1913832651840029E-2"/>
                  <c:y val="-5.5555555555555552E-2"/>
                </c:manualLayout>
              </c:layout>
              <c:tx>
                <c:rich>
                  <a:bodyPr/>
                  <a:lstStyle/>
                  <a:p>
                    <a:fld id="{6D4C7BEF-B07E-4CC1-AF69-9871A9CEBD1A}" type="VALUE">
                      <a:rPr lang="en-US">
                        <a:solidFill>
                          <a:sysClr val="windowText" lastClr="000000"/>
                        </a:solidFill>
                      </a:rPr>
                      <a:pPr/>
                      <a:t>[VALORE]</a:t>
                    </a:fld>
                    <a:endParaRPr lang="it-I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9B8-4849-A687-1D1585312026}"/>
                </c:ext>
              </c:extLst>
            </c:dLbl>
            <c:dLbl>
              <c:idx val="3"/>
              <c:layout>
                <c:manualLayout>
                  <c:x val="2.1940759948140022E-2"/>
                  <c:y val="-5.092592592592597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B8-4849-A687-1D1585312026}"/>
                </c:ext>
              </c:extLst>
            </c:dLbl>
            <c:dLbl>
              <c:idx val="4"/>
              <c:layout>
                <c:manualLayout>
                  <c:x val="2.9919218111100029E-2"/>
                  <c:y val="-6.018518518518519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B8-4849-A687-1D158531202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5.1'!$C$24:$G$24</c:f>
              <c:strCache>
                <c:ptCount val="5"/>
                <c:pt idx="0">
                  <c:v>fino a 2 </c:v>
                </c:pt>
                <c:pt idx="1">
                  <c:v>da 2 a 10 </c:v>
                </c:pt>
                <c:pt idx="2">
                  <c:v>da 10 a 25 </c:v>
                </c:pt>
                <c:pt idx="3">
                  <c:v>da 25 a 50 </c:v>
                </c:pt>
                <c:pt idx="4">
                  <c:v>oltre 50 </c:v>
                </c:pt>
              </c:strCache>
            </c:strRef>
          </c:cat>
          <c:val>
            <c:numRef>
              <c:f>'[Revisione grafici e tabelle.xlsx]Figura 5.1'!$C$28:$G$28</c:f>
              <c:numCache>
                <c:formatCode>0.00%</c:formatCode>
                <c:ptCount val="5"/>
                <c:pt idx="0">
                  <c:v>8.9544986982960317E-2</c:v>
                </c:pt>
                <c:pt idx="1">
                  <c:v>8.5828496564202522E-2</c:v>
                </c:pt>
                <c:pt idx="2">
                  <c:v>2.5223048782699667E-2</c:v>
                </c:pt>
                <c:pt idx="3">
                  <c:v>1.9462704471126833E-2</c:v>
                </c:pt>
                <c:pt idx="4">
                  <c:v>1.5758763957346818E-2</c:v>
                </c:pt>
              </c:numCache>
            </c:numRef>
          </c:val>
          <c:extLst>
            <c:ext xmlns:c16="http://schemas.microsoft.com/office/drawing/2014/chart" uri="{C3380CC4-5D6E-409C-BE32-E72D297353CC}">
              <c16:uniqueId val="{00000003-B9B8-4849-A687-1D1585312026}"/>
            </c:ext>
          </c:extLst>
        </c:ser>
        <c:dLbls>
          <c:showLegendKey val="0"/>
          <c:showVal val="0"/>
          <c:showCatName val="0"/>
          <c:showSerName val="0"/>
          <c:showPercent val="0"/>
          <c:showBubbleSize val="0"/>
        </c:dLbls>
        <c:gapWidth val="150"/>
        <c:overlap val="100"/>
        <c:axId val="193562592"/>
        <c:axId val="185358544"/>
      </c:barChart>
      <c:catAx>
        <c:axId val="19356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358544"/>
        <c:crosses val="autoZero"/>
        <c:auto val="1"/>
        <c:lblAlgn val="ctr"/>
        <c:lblOffset val="100"/>
        <c:noMultiLvlLbl val="0"/>
      </c:catAx>
      <c:valAx>
        <c:axId val="185358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35625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E87-4640-978A-1DCCE1671C32}"/>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E87-4640-978A-1DCCE1671C3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6E87-4640-978A-1DCCE1671C32}"/>
              </c:ext>
            </c:extLst>
          </c:dPt>
          <c:dLbls>
            <c:dLbl>
              <c:idx val="0"/>
              <c:layout>
                <c:manualLayout>
                  <c:x val="0.1189854921198204"/>
                  <c:y val="-3.30851943755169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87-4640-978A-1DCCE1671C32}"/>
                </c:ext>
              </c:extLst>
            </c:dLbl>
            <c:dLbl>
              <c:idx val="1"/>
              <c:layout>
                <c:manualLayout>
                  <c:x val="-0.1523849285043315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87-4640-978A-1DCCE1671C32}"/>
                </c:ext>
              </c:extLst>
            </c:dLbl>
            <c:dLbl>
              <c:idx val="2"/>
              <c:layout>
                <c:manualLayout>
                  <c:x val="0.10646070347562878"/>
                  <c:y val="-0.143369175627240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87-4640-978A-1DCCE1671C3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'[Dati VE elaborati.xlsx]Tab Sost'!$D$131:$D$133</c:f>
              <c:strCache>
                <c:ptCount val="3"/>
                <c:pt idx="0">
                  <c:v>Aumentato</c:v>
                </c:pt>
                <c:pt idx="1">
                  <c:v>Rimasto stabile</c:v>
                </c:pt>
                <c:pt idx="2">
                  <c:v>Diminuito</c:v>
                </c:pt>
              </c:strCache>
            </c:strRef>
          </c:cat>
          <c:val>
            <c:numRef>
              <c:f>'[Dati VE elaborati.xlsx]Tab Sost'!$K$131:$K$133</c:f>
              <c:numCache>
                <c:formatCode>0.0%</c:formatCode>
                <c:ptCount val="3"/>
                <c:pt idx="0">
                  <c:v>0.5304525472254592</c:v>
                </c:pt>
                <c:pt idx="1">
                  <c:v>0.4530342391820133</c:v>
                </c:pt>
                <c:pt idx="2">
                  <c:v>1.472696424355277E-2</c:v>
                </c:pt>
              </c:numCache>
            </c:numRef>
          </c:val>
          <c:extLst>
            <c:ext xmlns:c16="http://schemas.microsoft.com/office/drawing/2014/chart" uri="{C3380CC4-5D6E-409C-BE32-E72D297353CC}">
              <c16:uniqueId val="{00000006-6E87-4640-978A-1DCCE1671C32}"/>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'[Dati VE elaborati.xlsx]Tab Sost'!$X$257</c:f>
              <c:strCache>
                <c:ptCount val="1"/>
                <c:pt idx="0">
                  <c:v>Aumentato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Sost'!$Y$256:$AC$256</c:f>
              <c:strCache>
                <c:ptCount val="5"/>
                <c:pt idx="0">
                  <c:v>fino a 2 milioni di Euro</c:v>
                </c:pt>
                <c:pt idx="1">
                  <c:v>da 2 a 10 milioni di Euro</c:v>
                </c:pt>
                <c:pt idx="2">
                  <c:v>da 10 a 25 milioni di Euro</c:v>
                </c:pt>
                <c:pt idx="3">
                  <c:v>da 25 a 50 milioni di Euro</c:v>
                </c:pt>
                <c:pt idx="4">
                  <c:v>oltre 50 milioni di Euro</c:v>
                </c:pt>
              </c:strCache>
            </c:strRef>
          </c:cat>
          <c:val>
            <c:numRef>
              <c:f>'[Dati VE elaborati.xlsx]Tab Sost'!$Y$257:$AC$257</c:f>
              <c:numCache>
                <c:formatCode>0.0%</c:formatCode>
                <c:ptCount val="5"/>
                <c:pt idx="0">
                  <c:v>0.3766504345347596</c:v>
                </c:pt>
                <c:pt idx="1">
                  <c:v>0.44667520297482871</c:v>
                </c:pt>
                <c:pt idx="2">
                  <c:v>0.60762084431236707</c:v>
                </c:pt>
                <c:pt idx="3">
                  <c:v>0.58702458656276912</c:v>
                </c:pt>
                <c:pt idx="4">
                  <c:v>0.75621964940957898</c:v>
                </c:pt>
              </c:numCache>
            </c:numRef>
          </c:val>
          <c:extLst>
            <c:ext xmlns:c16="http://schemas.microsoft.com/office/drawing/2014/chart" uri="{C3380CC4-5D6E-409C-BE32-E72D297353CC}">
              <c16:uniqueId val="{00000000-CCDB-478A-9EF6-32992FF14BC9}"/>
            </c:ext>
          </c:extLst>
        </c:ser>
        <c:ser>
          <c:idx val="1"/>
          <c:order val="1"/>
          <c:tx>
            <c:strRef>
              <c:f>'[Dati VE elaborati.xlsx]Tab Sost'!$X$258</c:f>
              <c:strCache>
                <c:ptCount val="1"/>
                <c:pt idx="0">
                  <c:v>Rimasto stabile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Sost'!$Y$256:$AC$256</c:f>
              <c:strCache>
                <c:ptCount val="5"/>
                <c:pt idx="0">
                  <c:v>fino a 2 milioni di Euro</c:v>
                </c:pt>
                <c:pt idx="1">
                  <c:v>da 2 a 10 milioni di Euro</c:v>
                </c:pt>
                <c:pt idx="2">
                  <c:v>da 10 a 25 milioni di Euro</c:v>
                </c:pt>
                <c:pt idx="3">
                  <c:v>da 25 a 50 milioni di Euro</c:v>
                </c:pt>
                <c:pt idx="4">
                  <c:v>oltre 50 milioni di Euro</c:v>
                </c:pt>
              </c:strCache>
            </c:strRef>
          </c:cat>
          <c:val>
            <c:numRef>
              <c:f>'[Dati VE elaborati.xlsx]Tab Sost'!$Y$258:$AC$258</c:f>
              <c:numCache>
                <c:formatCode>0.0%</c:formatCode>
                <c:ptCount val="5"/>
                <c:pt idx="0">
                  <c:v>0.57970548395917376</c:v>
                </c:pt>
                <c:pt idx="1">
                  <c:v>0.53929912787163137</c:v>
                </c:pt>
                <c:pt idx="2">
                  <c:v>0.38724380297341676</c:v>
                </c:pt>
                <c:pt idx="3">
                  <c:v>0.41297541343723121</c:v>
                </c:pt>
                <c:pt idx="4">
                  <c:v>0.24092034117065336</c:v>
                </c:pt>
              </c:numCache>
            </c:numRef>
          </c:val>
          <c:extLst>
            <c:ext xmlns:c16="http://schemas.microsoft.com/office/drawing/2014/chart" uri="{C3380CC4-5D6E-409C-BE32-E72D297353CC}">
              <c16:uniqueId val="{00000001-CCDB-478A-9EF6-32992FF14BC9}"/>
            </c:ext>
          </c:extLst>
        </c:ser>
        <c:ser>
          <c:idx val="2"/>
          <c:order val="2"/>
          <c:tx>
            <c:strRef>
              <c:f>'[Dati VE elaborati.xlsx]Tab Sost'!$X$259</c:f>
              <c:strCache>
                <c:ptCount val="1"/>
                <c:pt idx="0">
                  <c:v>Diminuito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Sost'!$Y$256:$AC$256</c:f>
              <c:strCache>
                <c:ptCount val="5"/>
                <c:pt idx="0">
                  <c:v>fino a 2 milioni di Euro</c:v>
                </c:pt>
                <c:pt idx="1">
                  <c:v>da 2 a 10 milioni di Euro</c:v>
                </c:pt>
                <c:pt idx="2">
                  <c:v>da 10 a 25 milioni di Euro</c:v>
                </c:pt>
                <c:pt idx="3">
                  <c:v>da 25 a 50 milioni di Euro</c:v>
                </c:pt>
                <c:pt idx="4">
                  <c:v>oltre 50 milioni di Euro</c:v>
                </c:pt>
              </c:strCache>
            </c:strRef>
          </c:cat>
          <c:val>
            <c:numRef>
              <c:f>'[Dati VE elaborati.xlsx]Tab Sost'!$Y$259:$AC$259</c:f>
              <c:numCache>
                <c:formatCode>0.0%</c:formatCode>
                <c:ptCount val="5"/>
                <c:pt idx="0">
                  <c:v>5.4956026218949745E-2</c:v>
                </c:pt>
                <c:pt idx="1">
                  <c:v>1.4709487066045317E-2</c:v>
                </c:pt>
                <c:pt idx="2">
                  <c:v>1.1895121552557482E-2</c:v>
                </c:pt>
                <c:pt idx="3">
                  <c:v>0</c:v>
                </c:pt>
                <c:pt idx="4">
                  <c:v>0</c:v>
                </c:pt>
              </c:numCache>
            </c:numRef>
          </c:val>
          <c:extLst>
            <c:ext xmlns:c16="http://schemas.microsoft.com/office/drawing/2014/chart" uri="{C3380CC4-5D6E-409C-BE32-E72D297353CC}">
              <c16:uniqueId val="{00000002-CCDB-478A-9EF6-32992FF14BC9}"/>
            </c:ext>
          </c:extLst>
        </c:ser>
        <c:dLbls>
          <c:dLblPos val="ctr"/>
          <c:showLegendKey val="0"/>
          <c:showVal val="1"/>
          <c:showCatName val="0"/>
          <c:showSerName val="0"/>
          <c:showPercent val="0"/>
          <c:showBubbleSize val="0"/>
        </c:dLbls>
        <c:gapWidth val="150"/>
        <c:overlap val="100"/>
        <c:axId val="384036880"/>
        <c:axId val="1741863376"/>
      </c:barChart>
      <c:catAx>
        <c:axId val="38403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41863376"/>
        <c:crosses val="autoZero"/>
        <c:auto val="1"/>
        <c:lblAlgn val="ctr"/>
        <c:lblOffset val="100"/>
        <c:noMultiLvlLbl val="0"/>
      </c:catAx>
      <c:valAx>
        <c:axId val="17418633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840368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'[Dati VE elaborati.xlsx]Tab Sost'!$Y$294</c:f>
              <c:strCache>
                <c:ptCount val="1"/>
                <c:pt idx="0">
                  <c:v>Moltissimo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Sost'!$Z$293:$AD$293</c:f>
              <c:strCache>
                <c:ptCount val="5"/>
                <c:pt idx="0">
                  <c:v>fino a 2</c:v>
                </c:pt>
                <c:pt idx="1">
                  <c:v>da 2 a 10</c:v>
                </c:pt>
                <c:pt idx="2">
                  <c:v>da 10 a 25</c:v>
                </c:pt>
                <c:pt idx="3">
                  <c:v>da 25 a 50</c:v>
                </c:pt>
                <c:pt idx="4">
                  <c:v>oltre 50</c:v>
                </c:pt>
              </c:strCache>
            </c:strRef>
          </c:cat>
          <c:val>
            <c:numRef>
              <c:f>'[Dati VE elaborati.xlsx]Tab Sost'!$Z$294:$AD$294</c:f>
              <c:numCache>
                <c:formatCode>General</c:formatCode>
                <c:ptCount val="5"/>
                <c:pt idx="0">
                  <c:v>19</c:v>
                </c:pt>
                <c:pt idx="1">
                  <c:v>17.600000000000001</c:v>
                </c:pt>
                <c:pt idx="2">
                  <c:v>22.1</c:v>
                </c:pt>
                <c:pt idx="3">
                  <c:v>23.1</c:v>
                </c:pt>
                <c:pt idx="4">
                  <c:v>30.6</c:v>
                </c:pt>
              </c:numCache>
            </c:numRef>
          </c:val>
          <c:extLst>
            <c:ext xmlns:c16="http://schemas.microsoft.com/office/drawing/2014/chart" uri="{C3380CC4-5D6E-409C-BE32-E72D297353CC}">
              <c16:uniqueId val="{00000000-FA4F-46A8-A9DF-B4EBF382C2E9}"/>
            </c:ext>
          </c:extLst>
        </c:ser>
        <c:ser>
          <c:idx val="1"/>
          <c:order val="1"/>
          <c:tx>
            <c:strRef>
              <c:f>'[Dati VE elaborati.xlsx]Tab Sost'!$Y$295</c:f>
              <c:strCache>
                <c:ptCount val="1"/>
                <c:pt idx="0">
                  <c:v>Molto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Sost'!$Z$293:$AD$293</c:f>
              <c:strCache>
                <c:ptCount val="5"/>
                <c:pt idx="0">
                  <c:v>fino a 2</c:v>
                </c:pt>
                <c:pt idx="1">
                  <c:v>da 2 a 10</c:v>
                </c:pt>
                <c:pt idx="2">
                  <c:v>da 10 a 25</c:v>
                </c:pt>
                <c:pt idx="3">
                  <c:v>da 25 a 50</c:v>
                </c:pt>
                <c:pt idx="4">
                  <c:v>oltre 50</c:v>
                </c:pt>
              </c:strCache>
            </c:strRef>
          </c:cat>
          <c:val>
            <c:numRef>
              <c:f>'[Dati VE elaborati.xlsx]Tab Sost'!$Z$295:$AD$295</c:f>
              <c:numCache>
                <c:formatCode>General</c:formatCode>
                <c:ptCount val="5"/>
                <c:pt idx="0">
                  <c:v>46.5</c:v>
                </c:pt>
                <c:pt idx="1">
                  <c:v>58.7</c:v>
                </c:pt>
                <c:pt idx="2">
                  <c:v>66.8</c:v>
                </c:pt>
                <c:pt idx="3">
                  <c:v>60.8</c:v>
                </c:pt>
                <c:pt idx="4">
                  <c:v>62.2</c:v>
                </c:pt>
              </c:numCache>
            </c:numRef>
          </c:val>
          <c:extLst>
            <c:ext xmlns:c16="http://schemas.microsoft.com/office/drawing/2014/chart" uri="{C3380CC4-5D6E-409C-BE32-E72D297353CC}">
              <c16:uniqueId val="{00000001-FA4F-46A8-A9DF-B4EBF382C2E9}"/>
            </c:ext>
          </c:extLst>
        </c:ser>
        <c:ser>
          <c:idx val="2"/>
          <c:order val="2"/>
          <c:tx>
            <c:strRef>
              <c:f>'[Dati VE elaborati.xlsx]Tab Sost'!$Y$296</c:f>
              <c:strCache>
                <c:ptCount val="1"/>
                <c:pt idx="0">
                  <c:v>Poco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Sost'!$Z$293:$AD$293</c:f>
              <c:strCache>
                <c:ptCount val="5"/>
                <c:pt idx="0">
                  <c:v>fino a 2</c:v>
                </c:pt>
                <c:pt idx="1">
                  <c:v>da 2 a 10</c:v>
                </c:pt>
                <c:pt idx="2">
                  <c:v>da 10 a 25</c:v>
                </c:pt>
                <c:pt idx="3">
                  <c:v>da 25 a 50</c:v>
                </c:pt>
                <c:pt idx="4">
                  <c:v>oltre 50</c:v>
                </c:pt>
              </c:strCache>
            </c:strRef>
          </c:cat>
          <c:val>
            <c:numRef>
              <c:f>'[Dati VE elaborati.xlsx]Tab Sost'!$Z$296:$AD$296</c:f>
              <c:numCache>
                <c:formatCode>General</c:formatCode>
                <c:ptCount val="5"/>
                <c:pt idx="0">
                  <c:v>29.5</c:v>
                </c:pt>
                <c:pt idx="1">
                  <c:v>21.9</c:v>
                </c:pt>
                <c:pt idx="2">
                  <c:v>10.199999999999999</c:v>
                </c:pt>
                <c:pt idx="3">
                  <c:v>16.100000000000001</c:v>
                </c:pt>
                <c:pt idx="4">
                  <c:v>7.2</c:v>
                </c:pt>
              </c:numCache>
            </c:numRef>
          </c:val>
          <c:extLst>
            <c:ext xmlns:c16="http://schemas.microsoft.com/office/drawing/2014/chart" uri="{C3380CC4-5D6E-409C-BE32-E72D297353CC}">
              <c16:uniqueId val="{00000002-FA4F-46A8-A9DF-B4EBF382C2E9}"/>
            </c:ext>
          </c:extLst>
        </c:ser>
        <c:ser>
          <c:idx val="3"/>
          <c:order val="3"/>
          <c:tx>
            <c:strRef>
              <c:f>'[Dati VE elaborati.xlsx]Tab Sost'!$Y$297</c:f>
              <c:strCache>
                <c:ptCount val="1"/>
                <c:pt idx="0">
                  <c:v>Per nulla</c:v>
                </c:pt>
              </c:strCache>
            </c:strRef>
          </c:tx>
          <c:spPr>
            <a:solidFill>
              <a:srgbClr val="FF0000"/>
            </a:solidFill>
            <a:ln>
              <a:noFill/>
            </a:ln>
            <a:effectLst/>
          </c:spPr>
          <c:invertIfNegative val="0"/>
          <c:dLbls>
            <c:dLbl>
              <c:idx val="0"/>
              <c:layout>
                <c:manualLayout>
                  <c:x val="3.0095475300954751E-2"/>
                  <c:y val="-5.733646077664852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144458281444584E-2"/>
                      <c:h val="7.2895696482036684E-2"/>
                    </c:manualLayout>
                  </c15:layout>
                </c:ext>
                <c:ext xmlns:c16="http://schemas.microsoft.com/office/drawing/2014/chart" uri="{C3380CC4-5D6E-409C-BE32-E72D297353CC}">
                  <c16:uniqueId val="{00000000-EB21-41A5-880D-137F9F071E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Sost'!$Z$293:$AD$293</c:f>
              <c:strCache>
                <c:ptCount val="5"/>
                <c:pt idx="0">
                  <c:v>fino a 2</c:v>
                </c:pt>
                <c:pt idx="1">
                  <c:v>da 2 a 10</c:v>
                </c:pt>
                <c:pt idx="2">
                  <c:v>da 10 a 25</c:v>
                </c:pt>
                <c:pt idx="3">
                  <c:v>da 25 a 50</c:v>
                </c:pt>
                <c:pt idx="4">
                  <c:v>oltre 50</c:v>
                </c:pt>
              </c:strCache>
            </c:strRef>
          </c:cat>
          <c:val>
            <c:numRef>
              <c:f>'[Dati VE elaborati.xlsx]Tab Sost'!$Z$297:$AD$297</c:f>
              <c:numCache>
                <c:formatCode>General</c:formatCode>
                <c:ptCount val="5"/>
                <c:pt idx="0">
                  <c:v>5</c:v>
                </c:pt>
                <c:pt idx="1">
                  <c:v>1.8</c:v>
                </c:pt>
                <c:pt idx="2">
                  <c:v>1</c:v>
                </c:pt>
                <c:pt idx="3">
                  <c:v>0</c:v>
                </c:pt>
                <c:pt idx="4">
                  <c:v>0</c:v>
                </c:pt>
              </c:numCache>
            </c:numRef>
          </c:val>
          <c:extLst>
            <c:ext xmlns:c16="http://schemas.microsoft.com/office/drawing/2014/chart" uri="{C3380CC4-5D6E-409C-BE32-E72D297353CC}">
              <c16:uniqueId val="{00000003-FA4F-46A8-A9DF-B4EBF382C2E9}"/>
            </c:ext>
          </c:extLst>
        </c:ser>
        <c:dLbls>
          <c:dLblPos val="ctr"/>
          <c:showLegendKey val="0"/>
          <c:showVal val="1"/>
          <c:showCatName val="0"/>
          <c:showSerName val="0"/>
          <c:showPercent val="0"/>
          <c:showBubbleSize val="0"/>
        </c:dLbls>
        <c:gapWidth val="150"/>
        <c:overlap val="100"/>
        <c:axId val="1754613152"/>
        <c:axId val="879041360"/>
      </c:barChart>
      <c:catAx>
        <c:axId val="175461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879041360"/>
        <c:crosses val="autoZero"/>
        <c:auto val="1"/>
        <c:lblAlgn val="ctr"/>
        <c:lblOffset val="100"/>
        <c:noMultiLvlLbl val="0"/>
      </c:catAx>
      <c:valAx>
        <c:axId val="87904136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546131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'[Dati VE elaborati.xlsx]Tab Sost'!$AG$147</c:f>
              <c:strCache>
                <c:ptCount val="1"/>
                <c:pt idx="0">
                  <c:v>Moltissimo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Sost'!$AH$146:$AL$146</c:f>
              <c:strCache>
                <c:ptCount val="5"/>
                <c:pt idx="0">
                  <c:v>fino a 2</c:v>
                </c:pt>
                <c:pt idx="1">
                  <c:v>da 2 a 10</c:v>
                </c:pt>
                <c:pt idx="2">
                  <c:v>da 10 a 25</c:v>
                </c:pt>
                <c:pt idx="3">
                  <c:v>da 25 a 50</c:v>
                </c:pt>
                <c:pt idx="4">
                  <c:v>oltre 50</c:v>
                </c:pt>
              </c:strCache>
            </c:strRef>
          </c:cat>
          <c:val>
            <c:numRef>
              <c:f>'[Dati VE elaborati.xlsx]Tab Sost'!$AH$147:$AL$147</c:f>
              <c:numCache>
                <c:formatCode>General</c:formatCode>
                <c:ptCount val="5"/>
                <c:pt idx="0">
                  <c:v>1.9</c:v>
                </c:pt>
                <c:pt idx="1">
                  <c:v>5.9</c:v>
                </c:pt>
                <c:pt idx="2">
                  <c:v>5.5</c:v>
                </c:pt>
                <c:pt idx="3">
                  <c:v>3.6</c:v>
                </c:pt>
                <c:pt idx="4">
                  <c:v>11.3</c:v>
                </c:pt>
              </c:numCache>
            </c:numRef>
          </c:val>
          <c:extLst>
            <c:ext xmlns:c16="http://schemas.microsoft.com/office/drawing/2014/chart" uri="{C3380CC4-5D6E-409C-BE32-E72D297353CC}">
              <c16:uniqueId val="{00000000-9C98-4FA3-9DC4-84A76FA92390}"/>
            </c:ext>
          </c:extLst>
        </c:ser>
        <c:ser>
          <c:idx val="1"/>
          <c:order val="1"/>
          <c:tx>
            <c:strRef>
              <c:f>'[Dati VE elaborati.xlsx]Tab Sost'!$AG$148</c:f>
              <c:strCache>
                <c:ptCount val="1"/>
                <c:pt idx="0">
                  <c:v>Molto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Sost'!$AH$146:$AL$146</c:f>
              <c:strCache>
                <c:ptCount val="5"/>
                <c:pt idx="0">
                  <c:v>fino a 2</c:v>
                </c:pt>
                <c:pt idx="1">
                  <c:v>da 2 a 10</c:v>
                </c:pt>
                <c:pt idx="2">
                  <c:v>da 10 a 25</c:v>
                </c:pt>
                <c:pt idx="3">
                  <c:v>da 25 a 50</c:v>
                </c:pt>
                <c:pt idx="4">
                  <c:v>oltre 50</c:v>
                </c:pt>
              </c:strCache>
            </c:strRef>
          </c:cat>
          <c:val>
            <c:numRef>
              <c:f>'[Dati VE elaborati.xlsx]Tab Sost'!$AH$148:$AL$148</c:f>
              <c:numCache>
                <c:formatCode>General</c:formatCode>
                <c:ptCount val="5"/>
                <c:pt idx="0">
                  <c:v>24.6</c:v>
                </c:pt>
                <c:pt idx="1">
                  <c:v>24.6</c:v>
                </c:pt>
                <c:pt idx="2">
                  <c:v>30.6</c:v>
                </c:pt>
                <c:pt idx="3">
                  <c:v>35.299999999999997</c:v>
                </c:pt>
                <c:pt idx="4">
                  <c:v>38.200000000000003</c:v>
                </c:pt>
              </c:numCache>
            </c:numRef>
          </c:val>
          <c:extLst>
            <c:ext xmlns:c16="http://schemas.microsoft.com/office/drawing/2014/chart" uri="{C3380CC4-5D6E-409C-BE32-E72D297353CC}">
              <c16:uniqueId val="{00000001-9C98-4FA3-9DC4-84A76FA92390}"/>
            </c:ext>
          </c:extLst>
        </c:ser>
        <c:ser>
          <c:idx val="2"/>
          <c:order val="2"/>
          <c:tx>
            <c:strRef>
              <c:f>'[Dati VE elaborati.xlsx]Tab Sost'!$AG$149</c:f>
              <c:strCache>
                <c:ptCount val="1"/>
                <c:pt idx="0">
                  <c:v>Poco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Sost'!$AH$146:$AL$146</c:f>
              <c:strCache>
                <c:ptCount val="5"/>
                <c:pt idx="0">
                  <c:v>fino a 2</c:v>
                </c:pt>
                <c:pt idx="1">
                  <c:v>da 2 a 10</c:v>
                </c:pt>
                <c:pt idx="2">
                  <c:v>da 10 a 25</c:v>
                </c:pt>
                <c:pt idx="3">
                  <c:v>da 25 a 50</c:v>
                </c:pt>
                <c:pt idx="4">
                  <c:v>oltre 50</c:v>
                </c:pt>
              </c:strCache>
            </c:strRef>
          </c:cat>
          <c:val>
            <c:numRef>
              <c:f>'[Dati VE elaborati.xlsx]Tab Sost'!$AH$149:$AL$149</c:f>
              <c:numCache>
                <c:formatCode>General</c:formatCode>
                <c:ptCount val="5"/>
                <c:pt idx="0">
                  <c:v>41.8</c:v>
                </c:pt>
                <c:pt idx="1">
                  <c:v>45</c:v>
                </c:pt>
                <c:pt idx="2">
                  <c:v>52.8</c:v>
                </c:pt>
                <c:pt idx="3">
                  <c:v>45.4</c:v>
                </c:pt>
                <c:pt idx="4">
                  <c:v>38</c:v>
                </c:pt>
              </c:numCache>
            </c:numRef>
          </c:val>
          <c:extLst>
            <c:ext xmlns:c16="http://schemas.microsoft.com/office/drawing/2014/chart" uri="{C3380CC4-5D6E-409C-BE32-E72D297353CC}">
              <c16:uniqueId val="{00000002-9C98-4FA3-9DC4-84A76FA92390}"/>
            </c:ext>
          </c:extLst>
        </c:ser>
        <c:ser>
          <c:idx val="3"/>
          <c:order val="3"/>
          <c:tx>
            <c:strRef>
              <c:f>'[Dati VE elaborati.xlsx]Tab Sost'!$AG$150</c:f>
              <c:strCache>
                <c:ptCount val="1"/>
                <c:pt idx="0">
                  <c:v>Per nulla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Sost'!$AH$146:$AL$146</c:f>
              <c:strCache>
                <c:ptCount val="5"/>
                <c:pt idx="0">
                  <c:v>fino a 2</c:v>
                </c:pt>
                <c:pt idx="1">
                  <c:v>da 2 a 10</c:v>
                </c:pt>
                <c:pt idx="2">
                  <c:v>da 10 a 25</c:v>
                </c:pt>
                <c:pt idx="3">
                  <c:v>da 25 a 50</c:v>
                </c:pt>
                <c:pt idx="4">
                  <c:v>oltre 50</c:v>
                </c:pt>
              </c:strCache>
            </c:strRef>
          </c:cat>
          <c:val>
            <c:numRef>
              <c:f>'[Dati VE elaborati.xlsx]Tab Sost'!$AH$150:$AL$150</c:f>
              <c:numCache>
                <c:formatCode>General</c:formatCode>
                <c:ptCount val="5"/>
                <c:pt idx="0">
                  <c:v>31.7</c:v>
                </c:pt>
                <c:pt idx="1">
                  <c:v>24.5</c:v>
                </c:pt>
                <c:pt idx="2">
                  <c:v>11.1</c:v>
                </c:pt>
                <c:pt idx="3">
                  <c:v>15.7</c:v>
                </c:pt>
                <c:pt idx="4">
                  <c:v>12.6</c:v>
                </c:pt>
              </c:numCache>
            </c:numRef>
          </c:val>
          <c:extLst>
            <c:ext xmlns:c16="http://schemas.microsoft.com/office/drawing/2014/chart" uri="{C3380CC4-5D6E-409C-BE32-E72D297353CC}">
              <c16:uniqueId val="{00000003-9C98-4FA3-9DC4-84A76FA92390}"/>
            </c:ext>
          </c:extLst>
        </c:ser>
        <c:dLbls>
          <c:dLblPos val="ctr"/>
          <c:showLegendKey val="0"/>
          <c:showVal val="1"/>
          <c:showCatName val="0"/>
          <c:showSerName val="0"/>
          <c:showPercent val="0"/>
          <c:showBubbleSize val="0"/>
        </c:dLbls>
        <c:gapWidth val="150"/>
        <c:overlap val="100"/>
        <c:axId val="382957136"/>
        <c:axId val="554236944"/>
      </c:barChart>
      <c:catAx>
        <c:axId val="38295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54236944"/>
        <c:crosses val="autoZero"/>
        <c:auto val="1"/>
        <c:lblAlgn val="ctr"/>
        <c:lblOffset val="100"/>
        <c:noMultiLvlLbl val="0"/>
      </c:catAx>
      <c:valAx>
        <c:axId val="55423694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8295713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Pivot!$S$16</c:f>
              <c:strCache>
                <c:ptCount val="1"/>
                <c:pt idx="0">
                  <c:v>Sì</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022-4C6A-A1E4-87E1E149FF3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Pivot!$R$17:$R$22</c:f>
              <c:strCache>
                <c:ptCount val="6"/>
                <c:pt idx="0">
                  <c:v>Tutti</c:v>
                </c:pt>
                <c:pt idx="1">
                  <c:v>fino a 2</c:v>
                </c:pt>
                <c:pt idx="2">
                  <c:v>da 2 a 10</c:v>
                </c:pt>
                <c:pt idx="3">
                  <c:v>da 10 a 25</c:v>
                </c:pt>
                <c:pt idx="4">
                  <c:v>da 25 a 50</c:v>
                </c:pt>
                <c:pt idx="5">
                  <c:v>oltre 50</c:v>
                </c:pt>
              </c:strCache>
            </c:strRef>
          </c:cat>
          <c:val>
            <c:numRef>
              <c:f>Pivot!$S$17:$S$22</c:f>
              <c:numCache>
                <c:formatCode>0.00%</c:formatCode>
                <c:ptCount val="6"/>
                <c:pt idx="0">
                  <c:v>0.26547873117579679</c:v>
                </c:pt>
                <c:pt idx="1">
                  <c:v>0.28239512191478772</c:v>
                </c:pt>
                <c:pt idx="2">
                  <c:v>0.17432027068217212</c:v>
                </c:pt>
                <c:pt idx="3">
                  <c:v>0.34088122711922453</c:v>
                </c:pt>
                <c:pt idx="4">
                  <c:v>0.31938965526479862</c:v>
                </c:pt>
                <c:pt idx="5">
                  <c:v>0.36375553609716377</c:v>
                </c:pt>
              </c:numCache>
            </c:numRef>
          </c:val>
          <c:extLst>
            <c:ext xmlns:c16="http://schemas.microsoft.com/office/drawing/2014/chart" uri="{C3380CC4-5D6E-409C-BE32-E72D297353CC}">
              <c16:uniqueId val="{00000002-4022-4C6A-A1E4-87E1E149FF36}"/>
            </c:ext>
          </c:extLst>
        </c:ser>
        <c:dLbls>
          <c:showLegendKey val="0"/>
          <c:showVal val="0"/>
          <c:showCatName val="0"/>
          <c:showSerName val="0"/>
          <c:showPercent val="0"/>
          <c:showBubbleSize val="0"/>
        </c:dLbls>
        <c:gapWidth val="182"/>
        <c:axId val="2087710559"/>
        <c:axId val="1133670095"/>
      </c:barChart>
      <c:catAx>
        <c:axId val="20877105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3670095"/>
        <c:crosses val="autoZero"/>
        <c:auto val="1"/>
        <c:lblAlgn val="ctr"/>
        <c:lblOffset val="100"/>
        <c:noMultiLvlLbl val="0"/>
      </c:catAx>
      <c:valAx>
        <c:axId val="1133670095"/>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7710559"/>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4608287600414"/>
          <c:y val="3.6202073391476054E-2"/>
          <c:w val="0.7366491688538932"/>
          <c:h val="0.94010772513893237"/>
        </c:manualLayout>
      </c:layout>
      <c:barChart>
        <c:barDir val="bar"/>
        <c:grouping val="clustered"/>
        <c:varyColors val="0"/>
        <c:ser>
          <c:idx val="0"/>
          <c:order val="0"/>
          <c:spPr>
            <a:solidFill>
              <a:schemeClr val="accent1"/>
            </a:solidFill>
            <a:ln>
              <a:noFill/>
            </a:ln>
            <a:effectLst/>
          </c:spPr>
          <c:invertIfNegative val="0"/>
          <c:dLbls>
            <c:dLbl>
              <c:idx val="0"/>
              <c:tx>
                <c:rich>
                  <a:bodyPr/>
                  <a:lstStyle/>
                  <a:p>
                    <a:fld id="{191B1FA5-B47D-4B41-A1FE-6C6694EBAF09}" type="CELLRANGE">
                      <a:rPr lang="en-US"/>
                      <a:pPr/>
                      <a:t>[INTERVALLOCELLE]</a:t>
                    </a:fld>
                    <a:r>
                      <a:rPr lang="en-US" baseline="0"/>
                      <a:t>; </a:t>
                    </a:r>
                    <a:fld id="{285D760B-0435-4FE0-A15F-8366D958A836}"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DA6-4B35-962B-43D3EF13B8C5}"/>
                </c:ext>
              </c:extLst>
            </c:dLbl>
            <c:dLbl>
              <c:idx val="1"/>
              <c:tx>
                <c:rich>
                  <a:bodyPr/>
                  <a:lstStyle/>
                  <a:p>
                    <a:fld id="{90196C84-1E80-4A73-B2E0-0C251672E46D}" type="CELLRANGE">
                      <a:rPr lang="en-US"/>
                      <a:pPr/>
                      <a:t>[INTERVALLOCELLE]</a:t>
                    </a:fld>
                    <a:r>
                      <a:rPr lang="en-US" baseline="0"/>
                      <a:t>; </a:t>
                    </a:r>
                    <a:fld id="{2E366FFE-1061-47F8-97D9-F47B61E5D55E}"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DA6-4B35-962B-43D3EF13B8C5}"/>
                </c:ext>
              </c:extLst>
            </c:dLbl>
            <c:dLbl>
              <c:idx val="2"/>
              <c:tx>
                <c:rich>
                  <a:bodyPr/>
                  <a:lstStyle/>
                  <a:p>
                    <a:fld id="{D0C7253A-88EF-492A-BC59-AE609751A32C}" type="CELLRANGE">
                      <a:rPr lang="en-US"/>
                      <a:pPr/>
                      <a:t>[INTERVALLOCELLE]</a:t>
                    </a:fld>
                    <a:r>
                      <a:rPr lang="en-US" baseline="0"/>
                      <a:t>; </a:t>
                    </a:r>
                    <a:fld id="{BE2B1D9B-32B3-450E-B3E6-708B8762BB8D}"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DA6-4B35-962B-43D3EF13B8C5}"/>
                </c:ext>
              </c:extLst>
            </c:dLbl>
            <c:dLbl>
              <c:idx val="3"/>
              <c:tx>
                <c:rich>
                  <a:bodyPr/>
                  <a:lstStyle/>
                  <a:p>
                    <a:fld id="{3D708081-DA19-4E2D-965D-76D9D904750F}" type="CELLRANGE">
                      <a:rPr lang="en-US"/>
                      <a:pPr/>
                      <a:t>[INTERVALLOCELLE]</a:t>
                    </a:fld>
                    <a:r>
                      <a:rPr lang="en-US" baseline="0"/>
                      <a:t>; </a:t>
                    </a:r>
                    <a:fld id="{53CDA694-E449-4D0C-B307-BE4792750DF5}"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DA6-4B35-962B-43D3EF13B8C5}"/>
                </c:ext>
              </c:extLst>
            </c:dLbl>
            <c:dLbl>
              <c:idx val="4"/>
              <c:tx>
                <c:rich>
                  <a:bodyPr/>
                  <a:lstStyle/>
                  <a:p>
                    <a:fld id="{8AB2B888-D9FD-4858-ADF4-04C8ADED76C6}" type="CELLRANGE">
                      <a:rPr lang="en-US"/>
                      <a:pPr/>
                      <a:t>[INTERVALLOCELLE]</a:t>
                    </a:fld>
                    <a:r>
                      <a:rPr lang="en-US" baseline="0"/>
                      <a:t>; </a:t>
                    </a:r>
                    <a:fld id="{13B03B9D-B05D-4E26-89AC-569C305F3301}"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DA6-4B35-962B-43D3EF13B8C5}"/>
                </c:ext>
              </c:extLst>
            </c:dLbl>
            <c:dLbl>
              <c:idx val="5"/>
              <c:tx>
                <c:rich>
                  <a:bodyPr/>
                  <a:lstStyle/>
                  <a:p>
                    <a:fld id="{E5952357-3099-4BF4-834B-012F180E20AF}" type="CELLRANGE">
                      <a:rPr lang="en-US"/>
                      <a:pPr/>
                      <a:t>[INTERVALLOCELLE]</a:t>
                    </a:fld>
                    <a:r>
                      <a:rPr lang="en-US" baseline="0"/>
                      <a:t>; </a:t>
                    </a:r>
                    <a:fld id="{BD8F86A9-D5DC-44C6-90A9-84FC325C221E}"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DA6-4B35-962B-43D3EF13B8C5}"/>
                </c:ext>
              </c:extLst>
            </c:dLbl>
            <c:dLbl>
              <c:idx val="6"/>
              <c:tx>
                <c:rich>
                  <a:bodyPr/>
                  <a:lstStyle/>
                  <a:p>
                    <a:fld id="{4AC47F64-E1A0-415C-84C0-E34CA8364087}" type="CELLRANGE">
                      <a:rPr lang="en-US"/>
                      <a:pPr/>
                      <a:t>[INTERVALLOCELLE]</a:t>
                    </a:fld>
                    <a:r>
                      <a:rPr lang="en-US" baseline="0"/>
                      <a:t>; </a:t>
                    </a:r>
                    <a:fld id="{42B75072-F627-4A79-8728-990D86F7FAB8}"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DA6-4B35-962B-43D3EF13B8C5}"/>
                </c:ext>
              </c:extLst>
            </c:dLbl>
            <c:dLbl>
              <c:idx val="7"/>
              <c:tx>
                <c:rich>
                  <a:bodyPr/>
                  <a:lstStyle/>
                  <a:p>
                    <a:fld id="{720F48C9-C102-48E2-AC31-468BDBBF4287}" type="CELLRANGE">
                      <a:rPr lang="en-US"/>
                      <a:pPr/>
                      <a:t>[INTERVALLOCELLE]</a:t>
                    </a:fld>
                    <a:r>
                      <a:rPr lang="en-US" baseline="0"/>
                      <a:t>; </a:t>
                    </a:r>
                    <a:fld id="{CDC505AD-924F-4279-A4C4-6EB7A01649AB}"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DA6-4B35-962B-43D3EF13B8C5}"/>
                </c:ext>
              </c:extLst>
            </c:dLbl>
            <c:dLbl>
              <c:idx val="8"/>
              <c:tx>
                <c:rich>
                  <a:bodyPr/>
                  <a:lstStyle/>
                  <a:p>
                    <a:fld id="{9DBBB684-EB19-4816-8C45-85C194D44F59}" type="CELLRANGE">
                      <a:rPr lang="en-US"/>
                      <a:pPr/>
                      <a:t>[INTERVALLOCELLE]</a:t>
                    </a:fld>
                    <a:r>
                      <a:rPr lang="en-US" baseline="0"/>
                      <a:t>; </a:t>
                    </a:r>
                    <a:fld id="{16F07AD2-8442-4732-8E9D-495BF26036CA}"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DA6-4B35-962B-43D3EF13B8C5}"/>
                </c:ext>
              </c:extLst>
            </c:dLbl>
            <c:dLbl>
              <c:idx val="9"/>
              <c:tx>
                <c:rich>
                  <a:bodyPr/>
                  <a:lstStyle/>
                  <a:p>
                    <a:fld id="{FD074E50-9D92-4067-B187-829734EB7365}" type="CELLRANGE">
                      <a:rPr lang="en-US"/>
                      <a:pPr/>
                      <a:t>[INTERVALLOCELLE]</a:t>
                    </a:fld>
                    <a:r>
                      <a:rPr lang="en-US" baseline="0"/>
                      <a:t>; </a:t>
                    </a:r>
                    <a:fld id="{166B30CB-FE09-4FF5-A14E-1C6655BF91EC}"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DA6-4B35-962B-43D3EF13B8C5}"/>
                </c:ext>
              </c:extLst>
            </c:dLbl>
            <c:dLbl>
              <c:idx val="10"/>
              <c:tx>
                <c:rich>
                  <a:bodyPr/>
                  <a:lstStyle/>
                  <a:p>
                    <a:fld id="{746A6FF7-780B-4124-A1F3-9E2852506DDF}" type="CELLRANGE">
                      <a:rPr lang="en-US"/>
                      <a:pPr/>
                      <a:t>[INTERVALLOCELLE]</a:t>
                    </a:fld>
                    <a:r>
                      <a:rPr lang="en-US" baseline="0"/>
                      <a:t>; </a:t>
                    </a:r>
                    <a:fld id="{46F10332-5E15-4C73-AF25-1AB4509CFB34}"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DA6-4B35-962B-43D3EF13B8C5}"/>
                </c:ext>
              </c:extLst>
            </c:dLbl>
            <c:dLbl>
              <c:idx val="11"/>
              <c:tx>
                <c:rich>
                  <a:bodyPr/>
                  <a:lstStyle/>
                  <a:p>
                    <a:fld id="{DC8251A8-D216-463B-9D47-035D1B51907C}" type="CELLRANGE">
                      <a:rPr lang="en-US"/>
                      <a:pPr/>
                      <a:t>[INTERVALLOCELLE]</a:t>
                    </a:fld>
                    <a:r>
                      <a:rPr lang="en-US" baseline="0"/>
                      <a:t>; </a:t>
                    </a:r>
                    <a:fld id="{2D39C1D6-DE1B-426E-9B61-8176AF9170CA}"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DA6-4B35-962B-43D3EF13B8C5}"/>
                </c:ext>
              </c:extLst>
            </c:dLbl>
            <c:dLbl>
              <c:idx val="12"/>
              <c:tx>
                <c:rich>
                  <a:bodyPr/>
                  <a:lstStyle/>
                  <a:p>
                    <a:fld id="{F12EF707-8310-4F2D-8894-45B2518184D8}" type="CELLRANGE">
                      <a:rPr lang="en-US"/>
                      <a:pPr/>
                      <a:t>[INTERVALLOCELLE]</a:t>
                    </a:fld>
                    <a:r>
                      <a:rPr lang="en-US" baseline="0"/>
                      <a:t>; </a:t>
                    </a:r>
                    <a:fld id="{FBADB9D2-2D1B-4F4C-B28F-ED95C8CA6911}"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DA6-4B35-962B-43D3EF13B8C5}"/>
                </c:ext>
              </c:extLst>
            </c:dLbl>
            <c:dLbl>
              <c:idx val="13"/>
              <c:tx>
                <c:rich>
                  <a:bodyPr/>
                  <a:lstStyle/>
                  <a:p>
                    <a:fld id="{48E0F5BD-DBF6-46D0-8E48-75533B8599F1}" type="CELLRANGE">
                      <a:rPr lang="en-US"/>
                      <a:pPr/>
                      <a:t>[INTERVALLOCELLE]</a:t>
                    </a:fld>
                    <a:r>
                      <a:rPr lang="en-US" baseline="0"/>
                      <a:t>; </a:t>
                    </a:r>
                    <a:fld id="{6DD28257-F5A7-49D2-A933-487F62871C37}"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DA6-4B35-962B-43D3EF13B8C5}"/>
                </c:ext>
              </c:extLst>
            </c:dLbl>
            <c:dLbl>
              <c:idx val="14"/>
              <c:tx>
                <c:rich>
                  <a:bodyPr/>
                  <a:lstStyle/>
                  <a:p>
                    <a:fld id="{40B2F956-0F34-4B5C-A4AF-1E9CF8D62DD2}" type="CELLRANGE">
                      <a:rPr lang="en-US"/>
                      <a:pPr/>
                      <a:t>[INTERVALLOCELLE]</a:t>
                    </a:fld>
                    <a:r>
                      <a:rPr lang="en-US" baseline="0"/>
                      <a:t>; </a:t>
                    </a:r>
                    <a:fld id="{ED27C69D-46EA-4FB5-8A93-ADE34FFBBCB5}" type="VALUE">
                      <a:rPr lang="en-US" baseline="0"/>
                      <a:pPr/>
                      <a:t>[VALORE]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DA6-4B35-962B-43D3EF13B8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'Grafico Z'!$F$3:$F$17</c:f>
              <c:strCache>
                <c:ptCount val="15"/>
                <c:pt idx="0">
                  <c:v>Svezia</c:v>
                </c:pt>
                <c:pt idx="1">
                  <c:v>Turchia</c:v>
                </c:pt>
                <c:pt idx="2">
                  <c:v>Rep. Ceca</c:v>
                </c:pt>
                <c:pt idx="3">
                  <c:v>Cina</c:v>
                </c:pt>
                <c:pt idx="4">
                  <c:v>Belgio</c:v>
                </c:pt>
                <c:pt idx="5">
                  <c:v>Paesi bassi</c:v>
                </c:pt>
                <c:pt idx="6">
                  <c:v>Romania</c:v>
                </c:pt>
                <c:pt idx="7">
                  <c:v>Svizzera</c:v>
                </c:pt>
                <c:pt idx="8">
                  <c:v>Austria</c:v>
                </c:pt>
                <c:pt idx="9">
                  <c:v>Polonia</c:v>
                </c:pt>
                <c:pt idx="10">
                  <c:v>Regno Unito</c:v>
                </c:pt>
                <c:pt idx="11">
                  <c:v>Spagna</c:v>
                </c:pt>
                <c:pt idx="12">
                  <c:v>Stati Uniti</c:v>
                </c:pt>
                <c:pt idx="13">
                  <c:v>Francia</c:v>
                </c:pt>
                <c:pt idx="14">
                  <c:v>Germania</c:v>
                </c:pt>
              </c:strCache>
            </c:strRef>
          </c:cat>
          <c:val>
            <c:numRef>
              <c:f>'Grafico Z'!$G$3:$G$17</c:f>
              <c:numCache>
                <c:formatCode>_-* #,##0.0_-;\-* #,##0.0_-;_-* "-"??_-;_-@_-</c:formatCode>
                <c:ptCount val="15"/>
                <c:pt idx="0">
                  <c:v>1.1061800260000001</c:v>
                </c:pt>
                <c:pt idx="1">
                  <c:v>1.3221283960000001</c:v>
                </c:pt>
                <c:pt idx="2">
                  <c:v>1.3450775260000001</c:v>
                </c:pt>
                <c:pt idx="3">
                  <c:v>1.613079986</c:v>
                </c:pt>
                <c:pt idx="4">
                  <c:v>1.9858289600000001</c:v>
                </c:pt>
                <c:pt idx="5">
                  <c:v>2.1663858440000001</c:v>
                </c:pt>
                <c:pt idx="6">
                  <c:v>2.1669369559999998</c:v>
                </c:pt>
                <c:pt idx="7">
                  <c:v>2.4863089029999998</c:v>
                </c:pt>
                <c:pt idx="8">
                  <c:v>2.8984511350000002</c:v>
                </c:pt>
                <c:pt idx="9">
                  <c:v>2.909227966</c:v>
                </c:pt>
                <c:pt idx="10">
                  <c:v>3.678802154</c:v>
                </c:pt>
                <c:pt idx="11">
                  <c:v>3.9758881100000001</c:v>
                </c:pt>
                <c:pt idx="12">
                  <c:v>8.03644319</c:v>
                </c:pt>
                <c:pt idx="13">
                  <c:v>8.9635545959999998</c:v>
                </c:pt>
                <c:pt idx="14">
                  <c:v>11.233624339</c:v>
                </c:pt>
              </c:numCache>
            </c:numRef>
          </c:val>
          <c:extLst>
            <c:ext xmlns:c15="http://schemas.microsoft.com/office/drawing/2012/chart" uri="{02D57815-91ED-43cb-92C2-25804820EDAC}">
              <c15:datalabelsRange>
                <c15:f>'Grafico Z'!$H$3:$H$17</c15:f>
                <c15:dlblRangeCache>
                  <c:ptCount val="15"/>
                  <c:pt idx="0">
                    <c:v>12,7%</c:v>
                  </c:pt>
                  <c:pt idx="1">
                    <c:v>37,0%</c:v>
                  </c:pt>
                  <c:pt idx="2">
                    <c:v>14,8%</c:v>
                  </c:pt>
                  <c:pt idx="3">
                    <c:v>7,9%</c:v>
                  </c:pt>
                  <c:pt idx="4">
                    <c:v>11,4%</c:v>
                  </c:pt>
                  <c:pt idx="5">
                    <c:v>18,9%</c:v>
                  </c:pt>
                  <c:pt idx="6">
                    <c:v>15,1%</c:v>
                  </c:pt>
                  <c:pt idx="7">
                    <c:v>-9,8%</c:v>
                  </c:pt>
                  <c:pt idx="8">
                    <c:v>30,5%</c:v>
                  </c:pt>
                  <c:pt idx="9">
                    <c:v>19,3%</c:v>
                  </c:pt>
                  <c:pt idx="10">
                    <c:v>8,5%</c:v>
                  </c:pt>
                  <c:pt idx="11">
                    <c:v>16,2%</c:v>
                  </c:pt>
                  <c:pt idx="12">
                    <c:v>26,0%</c:v>
                  </c:pt>
                  <c:pt idx="13">
                    <c:v>16,1%</c:v>
                  </c:pt>
                  <c:pt idx="14">
                    <c:v>13,9%</c:v>
                  </c:pt>
                </c15:dlblRangeCache>
              </c15:datalabelsRange>
            </c:ext>
            <c:ext xmlns:c16="http://schemas.microsoft.com/office/drawing/2014/chart" uri="{C3380CC4-5D6E-409C-BE32-E72D297353CC}">
              <c16:uniqueId val="{0000000F-0DA6-4B35-962B-43D3EF13B8C5}"/>
            </c:ext>
          </c:extLst>
        </c:ser>
        <c:dLbls>
          <c:showLegendKey val="0"/>
          <c:showVal val="0"/>
          <c:showCatName val="0"/>
          <c:showSerName val="0"/>
          <c:showPercent val="0"/>
          <c:showBubbleSize val="0"/>
        </c:dLbls>
        <c:gapWidth val="182"/>
        <c:axId val="122691135"/>
        <c:axId val="1611558495"/>
      </c:barChart>
      <c:catAx>
        <c:axId val="122691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11558495"/>
        <c:crosses val="autoZero"/>
        <c:auto val="1"/>
        <c:lblAlgn val="ctr"/>
        <c:lblOffset val="100"/>
        <c:noMultiLvlLbl val="0"/>
      </c:catAx>
      <c:valAx>
        <c:axId val="1611558495"/>
        <c:scaling>
          <c:orientation val="minMax"/>
        </c:scaling>
        <c:delete val="1"/>
        <c:axPos val="b"/>
        <c:numFmt formatCode="_-* #,##0.0_-;\-* #,##0.0_-;_-* &quot;-&quot;??_-;_-@_-" sourceLinked="1"/>
        <c:majorTickMark val="none"/>
        <c:minorTickMark val="none"/>
        <c:tickLblPos val="nextTo"/>
        <c:crossAx val="1226911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Gianluca.xlsx]Tabelle'!$C$50:$C$52</c:f>
              <c:strCache>
                <c:ptCount val="3"/>
                <c:pt idx="0">
                  <c:v>Sì, ed è fondamentale</c:v>
                </c:pt>
                <c:pt idx="1">
                  <c:v>Sì, ma non è fondamentale</c:v>
                </c:pt>
                <c:pt idx="2">
                  <c:v>No</c:v>
                </c:pt>
              </c:strCache>
            </c:strRef>
          </c:cat>
          <c:val>
            <c:numRef>
              <c:f>'[Elaborazioni Gianluca.xlsx]Tabelle'!$D$50:$D$52</c:f>
              <c:numCache>
                <c:formatCode>0.00%</c:formatCode>
                <c:ptCount val="3"/>
                <c:pt idx="0">
                  <c:v>0.10883013400085201</c:v>
                </c:pt>
                <c:pt idx="1">
                  <c:v>0.57261929697754133</c:v>
                </c:pt>
                <c:pt idx="2">
                  <c:v>0.31855056902160656</c:v>
                </c:pt>
              </c:numCache>
            </c:numRef>
          </c:val>
          <c:extLst>
            <c:ext xmlns:c16="http://schemas.microsoft.com/office/drawing/2014/chart" uri="{C3380CC4-5D6E-409C-BE32-E72D297353CC}">
              <c16:uniqueId val="{00000000-D0B2-4B4C-B927-CCED94AC2A11}"/>
            </c:ext>
          </c:extLst>
        </c:ser>
        <c:dLbls>
          <c:showLegendKey val="0"/>
          <c:showVal val="0"/>
          <c:showCatName val="0"/>
          <c:showSerName val="0"/>
          <c:showPercent val="0"/>
          <c:showBubbleSize val="0"/>
        </c:dLbls>
        <c:gapWidth val="182"/>
        <c:axId val="1462691424"/>
        <c:axId val="1513043008"/>
      </c:barChart>
      <c:catAx>
        <c:axId val="1462691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13043008"/>
        <c:crosses val="autoZero"/>
        <c:auto val="1"/>
        <c:lblAlgn val="ctr"/>
        <c:lblOffset val="100"/>
        <c:noMultiLvlLbl val="0"/>
      </c:catAx>
      <c:valAx>
        <c:axId val="151304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269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'[Elaborazioni Gianluca.xlsx]Tabelle'!$C$57</c:f>
              <c:strCache>
                <c:ptCount val="1"/>
                <c:pt idx="0">
                  <c:v>Moltissimo</c:v>
                </c:pt>
              </c:strCache>
            </c:strRef>
          </c:tx>
          <c:spPr>
            <a:solidFill>
              <a:srgbClr val="00B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Gianluca.xlsx]Tabelle'!$B$58:$B$61</c:f>
              <c:strCache>
                <c:ptCount val="4"/>
                <c:pt idx="0">
                  <c:v>I limiti legati alla presenza di politiche o regolamenti governativi sulla sostenibilità ambientale</c:v>
                </c:pt>
                <c:pt idx="1">
                  <c:v>Le opportunità legate alla sostenibilità in termini di facilità di investimento</c:v>
                </c:pt>
                <c:pt idx="2">
                  <c:v>Le opportunità legate alla sostenibilità in termini di ricettività del mercato</c:v>
                </c:pt>
                <c:pt idx="3">
                  <c:v>La disponibilità di fornitori o partner commerciali sostenibili</c:v>
                </c:pt>
              </c:strCache>
            </c:strRef>
          </c:cat>
          <c:val>
            <c:numRef>
              <c:f>'[Elaborazioni Gianluca.xlsx]Tabelle'!$C$58:$C$61</c:f>
              <c:numCache>
                <c:formatCode>0.00%</c:formatCode>
                <c:ptCount val="4"/>
                <c:pt idx="0">
                  <c:v>3.3147525094353175E-2</c:v>
                </c:pt>
                <c:pt idx="1">
                  <c:v>2.0433908834819516E-2</c:v>
                </c:pt>
                <c:pt idx="2">
                  <c:v>3.7186261447703664E-2</c:v>
                </c:pt>
                <c:pt idx="3">
                  <c:v>3.9584375463589956E-2</c:v>
                </c:pt>
              </c:numCache>
            </c:numRef>
          </c:val>
          <c:extLst>
            <c:ext xmlns:c16="http://schemas.microsoft.com/office/drawing/2014/chart" uri="{C3380CC4-5D6E-409C-BE32-E72D297353CC}">
              <c16:uniqueId val="{00000000-522C-406F-8F4A-81F0EE08A611}"/>
            </c:ext>
          </c:extLst>
        </c:ser>
        <c:ser>
          <c:idx val="1"/>
          <c:order val="1"/>
          <c:tx>
            <c:strRef>
              <c:f>'[Elaborazioni Gianluca.xlsx]Tabelle'!$D$57</c:f>
              <c:strCache>
                <c:ptCount val="1"/>
                <c:pt idx="0">
                  <c:v>Molto</c:v>
                </c:pt>
              </c:strCache>
            </c:strRef>
          </c:tx>
          <c:spPr>
            <a:solidFill>
              <a:srgbClr val="92D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Gianluca.xlsx]Tabelle'!$B$58:$B$61</c:f>
              <c:strCache>
                <c:ptCount val="4"/>
                <c:pt idx="0">
                  <c:v>I limiti legati alla presenza di politiche o regolamenti governativi sulla sostenibilità ambientale</c:v>
                </c:pt>
                <c:pt idx="1">
                  <c:v>Le opportunità legate alla sostenibilità in termini di facilità di investimento</c:v>
                </c:pt>
                <c:pt idx="2">
                  <c:v>Le opportunità legate alla sostenibilità in termini di ricettività del mercato</c:v>
                </c:pt>
                <c:pt idx="3">
                  <c:v>La disponibilità di fornitori o partner commerciali sostenibili</c:v>
                </c:pt>
              </c:strCache>
            </c:strRef>
          </c:cat>
          <c:val>
            <c:numRef>
              <c:f>'[Elaborazioni Gianluca.xlsx]Tabelle'!$D$58:$D$61</c:f>
              <c:numCache>
                <c:formatCode>0.00%</c:formatCode>
                <c:ptCount val="4"/>
                <c:pt idx="0">
                  <c:v>0.35496091039039868</c:v>
                </c:pt>
                <c:pt idx="1">
                  <c:v>0.40630050089236625</c:v>
                </c:pt>
                <c:pt idx="2">
                  <c:v>0.45711939588236478</c:v>
                </c:pt>
                <c:pt idx="3">
                  <c:v>0.42029117254741155</c:v>
                </c:pt>
              </c:numCache>
            </c:numRef>
          </c:val>
          <c:extLst>
            <c:ext xmlns:c16="http://schemas.microsoft.com/office/drawing/2014/chart" uri="{C3380CC4-5D6E-409C-BE32-E72D297353CC}">
              <c16:uniqueId val="{00000001-522C-406F-8F4A-81F0EE08A611}"/>
            </c:ext>
          </c:extLst>
        </c:ser>
        <c:ser>
          <c:idx val="2"/>
          <c:order val="2"/>
          <c:tx>
            <c:strRef>
              <c:f>'[Elaborazioni Gianluca.xlsx]Tabelle'!$E$57</c:f>
              <c:strCache>
                <c:ptCount val="1"/>
                <c:pt idx="0">
                  <c:v>Poco</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Gianluca.xlsx]Tabelle'!$B$58:$B$61</c:f>
              <c:strCache>
                <c:ptCount val="4"/>
                <c:pt idx="0">
                  <c:v>I limiti legati alla presenza di politiche o regolamenti governativi sulla sostenibilità ambientale</c:v>
                </c:pt>
                <c:pt idx="1">
                  <c:v>Le opportunità legate alla sostenibilità in termini di facilità di investimento</c:v>
                </c:pt>
                <c:pt idx="2">
                  <c:v>Le opportunità legate alla sostenibilità in termini di ricettività del mercato</c:v>
                </c:pt>
                <c:pt idx="3">
                  <c:v>La disponibilità di fornitori o partner commerciali sostenibili</c:v>
                </c:pt>
              </c:strCache>
            </c:strRef>
          </c:cat>
          <c:val>
            <c:numRef>
              <c:f>'[Elaborazioni Gianluca.xlsx]Tabelle'!$E$58:$E$61</c:f>
              <c:numCache>
                <c:formatCode>0.00%</c:formatCode>
                <c:ptCount val="4"/>
                <c:pt idx="0">
                  <c:v>0.46863027033292681</c:v>
                </c:pt>
                <c:pt idx="1">
                  <c:v>0.41726347422748056</c:v>
                </c:pt>
                <c:pt idx="2">
                  <c:v>0.37884326988804318</c:v>
                </c:pt>
                <c:pt idx="3">
                  <c:v>0.42045129571341833</c:v>
                </c:pt>
              </c:numCache>
            </c:numRef>
          </c:val>
          <c:extLst>
            <c:ext xmlns:c16="http://schemas.microsoft.com/office/drawing/2014/chart" uri="{C3380CC4-5D6E-409C-BE32-E72D297353CC}">
              <c16:uniqueId val="{00000002-522C-406F-8F4A-81F0EE08A611}"/>
            </c:ext>
          </c:extLst>
        </c:ser>
        <c:ser>
          <c:idx val="3"/>
          <c:order val="3"/>
          <c:tx>
            <c:strRef>
              <c:f>'[Elaborazioni Gianluca.xlsx]Tabelle'!$F$57</c:f>
              <c:strCache>
                <c:ptCount val="1"/>
                <c:pt idx="0">
                  <c:v>Per nulla</c:v>
                </c:pt>
              </c:strCache>
            </c:strRef>
          </c:tx>
          <c:spPr>
            <a:solidFill>
              <a:srgbClr val="FF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Gianluca.xlsx]Tabelle'!$B$58:$B$61</c:f>
              <c:strCache>
                <c:ptCount val="4"/>
                <c:pt idx="0">
                  <c:v>I limiti legati alla presenza di politiche o regolamenti governativi sulla sostenibilità ambientale</c:v>
                </c:pt>
                <c:pt idx="1">
                  <c:v>Le opportunità legate alla sostenibilità in termini di facilità di investimento</c:v>
                </c:pt>
                <c:pt idx="2">
                  <c:v>Le opportunità legate alla sostenibilità in termini di ricettività del mercato</c:v>
                </c:pt>
                <c:pt idx="3">
                  <c:v>La disponibilità di fornitori o partner commerciali sostenibili</c:v>
                </c:pt>
              </c:strCache>
            </c:strRef>
          </c:cat>
          <c:val>
            <c:numRef>
              <c:f>'[Elaborazioni Gianluca.xlsx]Tabelle'!$F$58:$F$61</c:f>
              <c:numCache>
                <c:formatCode>0.00%</c:formatCode>
                <c:ptCount val="4"/>
                <c:pt idx="0">
                  <c:v>0.14326129418232128</c:v>
                </c:pt>
                <c:pt idx="1">
                  <c:v>0.15600211604533365</c:v>
                </c:pt>
                <c:pt idx="2">
                  <c:v>0.1268510727818884</c:v>
                </c:pt>
                <c:pt idx="3">
                  <c:v>0.11967315627558014</c:v>
                </c:pt>
              </c:numCache>
            </c:numRef>
          </c:val>
          <c:extLst>
            <c:ext xmlns:c16="http://schemas.microsoft.com/office/drawing/2014/chart" uri="{C3380CC4-5D6E-409C-BE32-E72D297353CC}">
              <c16:uniqueId val="{00000003-522C-406F-8F4A-81F0EE08A611}"/>
            </c:ext>
          </c:extLst>
        </c:ser>
        <c:dLbls>
          <c:showLegendKey val="0"/>
          <c:showVal val="0"/>
          <c:showCatName val="0"/>
          <c:showSerName val="0"/>
          <c:showPercent val="0"/>
          <c:showBubbleSize val="0"/>
        </c:dLbls>
        <c:gapWidth val="150"/>
        <c:overlap val="100"/>
        <c:axId val="1679664847"/>
        <c:axId val="1562530544"/>
      </c:barChart>
      <c:catAx>
        <c:axId val="1679664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62530544"/>
        <c:crosses val="autoZero"/>
        <c:auto val="1"/>
        <c:lblAlgn val="ctr"/>
        <c:lblOffset val="100"/>
        <c:noMultiLvlLbl val="0"/>
      </c:catAx>
      <c:valAx>
        <c:axId val="1562530544"/>
        <c:scaling>
          <c:orientation val="minMax"/>
          <c:max val="1"/>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7966484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33289588801379E-2"/>
          <c:y val="5.0925925925925923E-2"/>
          <c:w val="0.87852930883639535"/>
          <c:h val="0.68491469816272965"/>
        </c:manualLayout>
      </c:layout>
      <c:barChart>
        <c:barDir val="col"/>
        <c:grouping val="clustered"/>
        <c:varyColors val="0"/>
        <c:ser>
          <c:idx val="0"/>
          <c:order val="0"/>
          <c:tx>
            <c:strRef>
              <c:f>'[Dati VE elaborati.xlsx]Tab Sost'!$AJ$186</c:f>
              <c:strCache>
                <c:ptCount val="1"/>
                <c:pt idx="0">
                  <c:v>fino a 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Sost'!$AI$187:$AI$191</c:f>
              <c:strCache>
                <c:ptCount val="5"/>
                <c:pt idx="0">
                  <c:v>Costi eccessivi a fronte di un ritorno economico incerto o non chiaramente quantificabile</c:v>
                </c:pt>
                <c:pt idx="1">
                  <c:v>Ritorno economico eccessivamente procrastinato nel tempo rispetto ai costi sostenuti nel breve termine</c:v>
                </c:pt>
                <c:pt idx="2">
                  <c:v>Normative sulla sostenibilità non chiare nel paese target del processo di internazionalizzazione</c:v>
                </c:pt>
                <c:pt idx="3">
                  <c:v>Preferenze sulla sostenibilità non chiare da parte dei clienti fuori dall’Italia</c:v>
                </c:pt>
                <c:pt idx="4">
                  <c:v>Mancanza o difficoltà ad accedere agli incentivi pubblici o altre risorse esterne per gli investimenti in sostenibilità</c:v>
                </c:pt>
              </c:strCache>
            </c:strRef>
          </c:cat>
          <c:val>
            <c:numRef>
              <c:f>'[Dati VE elaborati.xlsx]Tab Sost'!$AJ$187:$AJ$191</c:f>
              <c:numCache>
                <c:formatCode>General</c:formatCode>
                <c:ptCount val="5"/>
                <c:pt idx="0">
                  <c:v>33.200000000000003</c:v>
                </c:pt>
                <c:pt idx="1">
                  <c:v>11.5</c:v>
                </c:pt>
                <c:pt idx="2">
                  <c:v>15.5</c:v>
                </c:pt>
                <c:pt idx="3">
                  <c:v>13.4</c:v>
                </c:pt>
                <c:pt idx="4">
                  <c:v>15.6</c:v>
                </c:pt>
              </c:numCache>
            </c:numRef>
          </c:val>
          <c:extLst>
            <c:ext xmlns:c16="http://schemas.microsoft.com/office/drawing/2014/chart" uri="{C3380CC4-5D6E-409C-BE32-E72D297353CC}">
              <c16:uniqueId val="{00000000-72BD-4E0A-8530-BCCFF3CB3EAB}"/>
            </c:ext>
          </c:extLst>
        </c:ser>
        <c:ser>
          <c:idx val="1"/>
          <c:order val="1"/>
          <c:tx>
            <c:strRef>
              <c:f>'[Dati VE elaborati.xlsx]Tab Sost'!$AK$186</c:f>
              <c:strCache>
                <c:ptCount val="1"/>
                <c:pt idx="0">
                  <c:v>da 2 a 10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Sost'!$AI$187:$AI$191</c:f>
              <c:strCache>
                <c:ptCount val="5"/>
                <c:pt idx="0">
                  <c:v>Costi eccessivi a fronte di un ritorno economico incerto o non chiaramente quantificabile</c:v>
                </c:pt>
                <c:pt idx="1">
                  <c:v>Ritorno economico eccessivamente procrastinato nel tempo rispetto ai costi sostenuti nel breve termine</c:v>
                </c:pt>
                <c:pt idx="2">
                  <c:v>Normative sulla sostenibilità non chiare nel paese target del processo di internazionalizzazione</c:v>
                </c:pt>
                <c:pt idx="3">
                  <c:v>Preferenze sulla sostenibilità non chiare da parte dei clienti fuori dall’Italia</c:v>
                </c:pt>
                <c:pt idx="4">
                  <c:v>Mancanza o difficoltà ad accedere agli incentivi pubblici o altre risorse esterne per gli investimenti in sostenibilità</c:v>
                </c:pt>
              </c:strCache>
            </c:strRef>
          </c:cat>
          <c:val>
            <c:numRef>
              <c:f>'[Dati VE elaborati.xlsx]Tab Sost'!$AK$187:$AK$191</c:f>
              <c:numCache>
                <c:formatCode>General</c:formatCode>
                <c:ptCount val="5"/>
                <c:pt idx="0">
                  <c:v>37.9</c:v>
                </c:pt>
                <c:pt idx="1">
                  <c:v>20.9</c:v>
                </c:pt>
                <c:pt idx="2">
                  <c:v>22.8</c:v>
                </c:pt>
                <c:pt idx="3">
                  <c:v>17.8</c:v>
                </c:pt>
                <c:pt idx="4">
                  <c:v>18.399999999999999</c:v>
                </c:pt>
              </c:numCache>
            </c:numRef>
          </c:val>
          <c:extLst>
            <c:ext xmlns:c16="http://schemas.microsoft.com/office/drawing/2014/chart" uri="{C3380CC4-5D6E-409C-BE32-E72D297353CC}">
              <c16:uniqueId val="{00000001-72BD-4E0A-8530-BCCFF3CB3EAB}"/>
            </c:ext>
          </c:extLst>
        </c:ser>
        <c:ser>
          <c:idx val="2"/>
          <c:order val="2"/>
          <c:tx>
            <c:strRef>
              <c:f>'[Dati VE elaborati.xlsx]Tab Sost'!$AL$186</c:f>
              <c:strCache>
                <c:ptCount val="1"/>
                <c:pt idx="0">
                  <c:v>da 10 a 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Sost'!$AI$187:$AI$191</c:f>
              <c:strCache>
                <c:ptCount val="5"/>
                <c:pt idx="0">
                  <c:v>Costi eccessivi a fronte di un ritorno economico incerto o non chiaramente quantificabile</c:v>
                </c:pt>
                <c:pt idx="1">
                  <c:v>Ritorno economico eccessivamente procrastinato nel tempo rispetto ai costi sostenuti nel breve termine</c:v>
                </c:pt>
                <c:pt idx="2">
                  <c:v>Normative sulla sostenibilità non chiare nel paese target del processo di internazionalizzazione</c:v>
                </c:pt>
                <c:pt idx="3">
                  <c:v>Preferenze sulla sostenibilità non chiare da parte dei clienti fuori dall’Italia</c:v>
                </c:pt>
                <c:pt idx="4">
                  <c:v>Mancanza o difficoltà ad accedere agli incentivi pubblici o altre risorse esterne per gli investimenti in sostenibilità</c:v>
                </c:pt>
              </c:strCache>
            </c:strRef>
          </c:cat>
          <c:val>
            <c:numRef>
              <c:f>'[Dati VE elaborati.xlsx]Tab Sost'!$AL$187:$AL$191</c:f>
              <c:numCache>
                <c:formatCode>General</c:formatCode>
                <c:ptCount val="5"/>
                <c:pt idx="0">
                  <c:v>41.4</c:v>
                </c:pt>
                <c:pt idx="1">
                  <c:v>22.5</c:v>
                </c:pt>
                <c:pt idx="2">
                  <c:v>28.8</c:v>
                </c:pt>
                <c:pt idx="3">
                  <c:v>29.4</c:v>
                </c:pt>
                <c:pt idx="4">
                  <c:v>25.5</c:v>
                </c:pt>
              </c:numCache>
            </c:numRef>
          </c:val>
          <c:extLst>
            <c:ext xmlns:c16="http://schemas.microsoft.com/office/drawing/2014/chart" uri="{C3380CC4-5D6E-409C-BE32-E72D297353CC}">
              <c16:uniqueId val="{00000002-72BD-4E0A-8530-BCCFF3CB3EAB}"/>
            </c:ext>
          </c:extLst>
        </c:ser>
        <c:ser>
          <c:idx val="3"/>
          <c:order val="3"/>
          <c:tx>
            <c:strRef>
              <c:f>'[Dati VE elaborati.xlsx]Tab Sost'!$AM$186</c:f>
              <c:strCache>
                <c:ptCount val="1"/>
                <c:pt idx="0">
                  <c:v>da 25 a 50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Sost'!$AI$187:$AI$191</c:f>
              <c:strCache>
                <c:ptCount val="5"/>
                <c:pt idx="0">
                  <c:v>Costi eccessivi a fronte di un ritorno economico incerto o non chiaramente quantificabile</c:v>
                </c:pt>
                <c:pt idx="1">
                  <c:v>Ritorno economico eccessivamente procrastinato nel tempo rispetto ai costi sostenuti nel breve termine</c:v>
                </c:pt>
                <c:pt idx="2">
                  <c:v>Normative sulla sostenibilità non chiare nel paese target del processo di internazionalizzazione</c:v>
                </c:pt>
                <c:pt idx="3">
                  <c:v>Preferenze sulla sostenibilità non chiare da parte dei clienti fuori dall’Italia</c:v>
                </c:pt>
                <c:pt idx="4">
                  <c:v>Mancanza o difficoltà ad accedere agli incentivi pubblici o altre risorse esterne per gli investimenti in sostenibilità</c:v>
                </c:pt>
              </c:strCache>
            </c:strRef>
          </c:cat>
          <c:val>
            <c:numRef>
              <c:f>'[Dati VE elaborati.xlsx]Tab Sost'!$AM$187:$AM$191</c:f>
              <c:numCache>
                <c:formatCode>General</c:formatCode>
                <c:ptCount val="5"/>
                <c:pt idx="0">
                  <c:v>49.4</c:v>
                </c:pt>
                <c:pt idx="1">
                  <c:v>24</c:v>
                </c:pt>
                <c:pt idx="2">
                  <c:v>24</c:v>
                </c:pt>
                <c:pt idx="3">
                  <c:v>20.399999999999999</c:v>
                </c:pt>
                <c:pt idx="4">
                  <c:v>19.899999999999999</c:v>
                </c:pt>
              </c:numCache>
            </c:numRef>
          </c:val>
          <c:extLst>
            <c:ext xmlns:c16="http://schemas.microsoft.com/office/drawing/2014/chart" uri="{C3380CC4-5D6E-409C-BE32-E72D297353CC}">
              <c16:uniqueId val="{00000003-72BD-4E0A-8530-BCCFF3CB3EAB}"/>
            </c:ext>
          </c:extLst>
        </c:ser>
        <c:ser>
          <c:idx val="4"/>
          <c:order val="4"/>
          <c:tx>
            <c:strRef>
              <c:f>'[Dati VE elaborati.xlsx]Tab Sost'!$AN$186</c:f>
              <c:strCache>
                <c:ptCount val="1"/>
                <c:pt idx="0">
                  <c:v>oltre 50</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Sost'!$AI$187:$AI$191</c:f>
              <c:strCache>
                <c:ptCount val="5"/>
                <c:pt idx="0">
                  <c:v>Costi eccessivi a fronte di un ritorno economico incerto o non chiaramente quantificabile</c:v>
                </c:pt>
                <c:pt idx="1">
                  <c:v>Ritorno economico eccessivamente procrastinato nel tempo rispetto ai costi sostenuti nel breve termine</c:v>
                </c:pt>
                <c:pt idx="2">
                  <c:v>Normative sulla sostenibilità non chiare nel paese target del processo di internazionalizzazione</c:v>
                </c:pt>
                <c:pt idx="3">
                  <c:v>Preferenze sulla sostenibilità non chiare da parte dei clienti fuori dall’Italia</c:v>
                </c:pt>
                <c:pt idx="4">
                  <c:v>Mancanza o difficoltà ad accedere agli incentivi pubblici o altre risorse esterne per gli investimenti in sostenibilità</c:v>
                </c:pt>
              </c:strCache>
            </c:strRef>
          </c:cat>
          <c:val>
            <c:numRef>
              <c:f>'[Dati VE elaborati.xlsx]Tab Sost'!$AN$187:$AN$191</c:f>
              <c:numCache>
                <c:formatCode>General</c:formatCode>
                <c:ptCount val="5"/>
                <c:pt idx="0">
                  <c:v>29.1</c:v>
                </c:pt>
                <c:pt idx="1">
                  <c:v>35.299999999999997</c:v>
                </c:pt>
                <c:pt idx="2">
                  <c:v>33.299999999999997</c:v>
                </c:pt>
                <c:pt idx="3">
                  <c:v>28.1</c:v>
                </c:pt>
                <c:pt idx="4">
                  <c:v>14.7</c:v>
                </c:pt>
              </c:numCache>
            </c:numRef>
          </c:val>
          <c:extLst>
            <c:ext xmlns:c16="http://schemas.microsoft.com/office/drawing/2014/chart" uri="{C3380CC4-5D6E-409C-BE32-E72D297353CC}">
              <c16:uniqueId val="{00000004-72BD-4E0A-8530-BCCFF3CB3EAB}"/>
            </c:ext>
          </c:extLst>
        </c:ser>
        <c:dLbls>
          <c:dLblPos val="outEnd"/>
          <c:showLegendKey val="0"/>
          <c:showVal val="1"/>
          <c:showCatName val="0"/>
          <c:showSerName val="0"/>
          <c:showPercent val="0"/>
          <c:showBubbleSize val="0"/>
        </c:dLbls>
        <c:gapWidth val="219"/>
        <c:overlap val="-27"/>
        <c:axId val="626562816"/>
        <c:axId val="384322368"/>
      </c:barChart>
      <c:catAx>
        <c:axId val="6265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84322368"/>
        <c:crosses val="autoZero"/>
        <c:auto val="1"/>
        <c:lblAlgn val="ctr"/>
        <c:lblOffset val="100"/>
        <c:noMultiLvlLbl val="0"/>
      </c:catAx>
      <c:valAx>
        <c:axId val="38432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265628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'[Elaborazioni Gianluca.xlsx]Tabelle'!$C$43</c:f>
              <c:strCache>
                <c:ptCount val="1"/>
                <c:pt idx="0">
                  <c:v>Sì</c:v>
                </c:pt>
              </c:strCache>
            </c:strRef>
          </c:tx>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7CC7-44D3-A65E-7583771859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Gianluca.xlsx]Tabelle'!$D$42:$I$42</c:f>
              <c:strCache>
                <c:ptCount val="6"/>
                <c:pt idx="0">
                  <c:v>fino a 2</c:v>
                </c:pt>
                <c:pt idx="1">
                  <c:v>da 2 a 10</c:v>
                </c:pt>
                <c:pt idx="2">
                  <c:v>da 10 a 25</c:v>
                </c:pt>
                <c:pt idx="3">
                  <c:v>da 25 a 50</c:v>
                </c:pt>
                <c:pt idx="4">
                  <c:v>oltre 50</c:v>
                </c:pt>
                <c:pt idx="5">
                  <c:v>Tutti</c:v>
                </c:pt>
              </c:strCache>
            </c:strRef>
          </c:cat>
          <c:val>
            <c:numRef>
              <c:f>'[Elaborazioni Gianluca.xlsx]Tabelle'!$D$43:$I$43</c:f>
              <c:numCache>
                <c:formatCode>0.0%</c:formatCode>
                <c:ptCount val="6"/>
                <c:pt idx="0">
                  <c:v>0.16694333012764673</c:v>
                </c:pt>
                <c:pt idx="1">
                  <c:v>0.31005629358130254</c:v>
                </c:pt>
                <c:pt idx="2">
                  <c:v>0.41041439561134652</c:v>
                </c:pt>
                <c:pt idx="3">
                  <c:v>0.43145868084882799</c:v>
                </c:pt>
                <c:pt idx="4">
                  <c:v>0.61384109266328446</c:v>
                </c:pt>
                <c:pt idx="5">
                  <c:v>0.36809627915289023</c:v>
                </c:pt>
              </c:numCache>
            </c:numRef>
          </c:val>
          <c:extLst>
            <c:ext xmlns:c16="http://schemas.microsoft.com/office/drawing/2014/chart" uri="{C3380CC4-5D6E-409C-BE32-E72D297353CC}">
              <c16:uniqueId val="{00000002-7CC7-44D3-A65E-7583771859BD}"/>
            </c:ext>
          </c:extLst>
        </c:ser>
        <c:dLbls>
          <c:showLegendKey val="0"/>
          <c:showVal val="0"/>
          <c:showCatName val="0"/>
          <c:showSerName val="0"/>
          <c:showPercent val="0"/>
          <c:showBubbleSize val="0"/>
        </c:dLbls>
        <c:gapWidth val="182"/>
        <c:axId val="2087710559"/>
        <c:axId val="1133670095"/>
      </c:barChart>
      <c:catAx>
        <c:axId val="208771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3670095"/>
        <c:crosses val="autoZero"/>
        <c:auto val="1"/>
        <c:lblAlgn val="ctr"/>
        <c:lblOffset val="100"/>
        <c:noMultiLvlLbl val="0"/>
      </c:catAx>
      <c:valAx>
        <c:axId val="1133670095"/>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7710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25E6-4775-A128-B17DC777E19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'[Elaborazioni Gianluca.xlsx]Pivot'!$T$29:$Y$29</c:f>
              <c:strCache>
                <c:ptCount val="6"/>
                <c:pt idx="0">
                  <c:v>fino a 2</c:v>
                </c:pt>
                <c:pt idx="1">
                  <c:v>da 2 a 10</c:v>
                </c:pt>
                <c:pt idx="2">
                  <c:v>da 10 a 25</c:v>
                </c:pt>
                <c:pt idx="3">
                  <c:v>da 25 a 50</c:v>
                </c:pt>
                <c:pt idx="4">
                  <c:v>oltre 50</c:v>
                </c:pt>
                <c:pt idx="5">
                  <c:v>Tutti</c:v>
                </c:pt>
              </c:strCache>
            </c:strRef>
          </c:cat>
          <c:val>
            <c:numRef>
              <c:f>'[Elaborazioni Gianluca.xlsx]Pivot'!$T$30:$Y$30</c:f>
              <c:numCache>
                <c:formatCode>0.00%</c:formatCode>
                <c:ptCount val="6"/>
                <c:pt idx="0">
                  <c:v>0.37568298229437125</c:v>
                </c:pt>
                <c:pt idx="1">
                  <c:v>0.26247083046344633</c:v>
                </c:pt>
                <c:pt idx="2">
                  <c:v>0.27478019552033339</c:v>
                </c:pt>
                <c:pt idx="3">
                  <c:v>0.17826658870090645</c:v>
                </c:pt>
                <c:pt idx="4">
                  <c:v>0.10805507263905484</c:v>
                </c:pt>
                <c:pt idx="5">
                  <c:v>0.24600000000000002</c:v>
                </c:pt>
              </c:numCache>
            </c:numRef>
          </c:val>
          <c:extLst>
            <c:ext xmlns:c16="http://schemas.microsoft.com/office/drawing/2014/chart" uri="{C3380CC4-5D6E-409C-BE32-E72D297353CC}">
              <c16:uniqueId val="{00000002-25E6-4775-A128-B17DC777E198}"/>
            </c:ext>
          </c:extLst>
        </c:ser>
        <c:dLbls>
          <c:showLegendKey val="0"/>
          <c:showVal val="0"/>
          <c:showCatName val="0"/>
          <c:showSerName val="0"/>
          <c:showPercent val="0"/>
          <c:showBubbleSize val="0"/>
        </c:dLbls>
        <c:gapWidth val="182"/>
        <c:axId val="2087710559"/>
        <c:axId val="1133670095"/>
      </c:barChart>
      <c:catAx>
        <c:axId val="208771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3670095"/>
        <c:crosses val="autoZero"/>
        <c:auto val="1"/>
        <c:lblAlgn val="ctr"/>
        <c:lblOffset val="100"/>
        <c:noMultiLvlLbl val="0"/>
      </c:catAx>
      <c:valAx>
        <c:axId val="1133670095"/>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7710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'[Dati VE elaborati.xlsx]Tab Sost'!$Z$311</c:f>
              <c:strCache>
                <c:ptCount val="1"/>
                <c:pt idx="0">
                  <c:v>fino a 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Sost'!$Y$312:$Y$316</c:f>
              <c:strCache>
                <c:ptCount val="5"/>
                <c:pt idx="0">
                  <c:v>Selezionare fornitori sostenibili</c:v>
                </c:pt>
                <c:pt idx="1">
                  <c:v>Monitorare e valutare le pratiche sostenibili dei fornitori</c:v>
                </c:pt>
                <c:pt idx="2">
                  <c:v>Difficoltà a monitorare il rispetto dei principi della sostenibilità lungo tutta la catena di approvvigionamento</c:v>
                </c:pt>
                <c:pt idx="3">
                  <c:v>Rispondere alle diverse normative dei paesi</c:v>
                </c:pt>
                <c:pt idx="4">
                  <c:v>Declinare il concetto di sostenibilità ambientale nei diversi contesti operativi</c:v>
                </c:pt>
              </c:strCache>
            </c:strRef>
          </c:cat>
          <c:val>
            <c:numRef>
              <c:f>'[Dati VE elaborati.xlsx]Tab Sost'!$Z$312:$Z$316</c:f>
              <c:numCache>
                <c:formatCode>General</c:formatCode>
                <c:ptCount val="5"/>
                <c:pt idx="0">
                  <c:v>17.8</c:v>
                </c:pt>
                <c:pt idx="1">
                  <c:v>17</c:v>
                </c:pt>
                <c:pt idx="2">
                  <c:v>24.3</c:v>
                </c:pt>
                <c:pt idx="3">
                  <c:v>26.8</c:v>
                </c:pt>
                <c:pt idx="4">
                  <c:v>21.1</c:v>
                </c:pt>
              </c:numCache>
            </c:numRef>
          </c:val>
          <c:extLst>
            <c:ext xmlns:c16="http://schemas.microsoft.com/office/drawing/2014/chart" uri="{C3380CC4-5D6E-409C-BE32-E72D297353CC}">
              <c16:uniqueId val="{00000000-B222-468C-8D34-680A71F6C83B}"/>
            </c:ext>
          </c:extLst>
        </c:ser>
        <c:ser>
          <c:idx val="1"/>
          <c:order val="1"/>
          <c:tx>
            <c:strRef>
              <c:f>'[Dati VE elaborati.xlsx]Tab Sost'!$AA$311</c:f>
              <c:strCache>
                <c:ptCount val="1"/>
                <c:pt idx="0">
                  <c:v>da 2 a 10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Sost'!$Y$312:$Y$316</c:f>
              <c:strCache>
                <c:ptCount val="5"/>
                <c:pt idx="0">
                  <c:v>Selezionare fornitori sostenibili</c:v>
                </c:pt>
                <c:pt idx="1">
                  <c:v>Monitorare e valutare le pratiche sostenibili dei fornitori</c:v>
                </c:pt>
                <c:pt idx="2">
                  <c:v>Difficoltà a monitorare il rispetto dei principi della sostenibilità lungo tutta la catena di approvvigionamento</c:v>
                </c:pt>
                <c:pt idx="3">
                  <c:v>Rispondere alle diverse normative dei paesi</c:v>
                </c:pt>
                <c:pt idx="4">
                  <c:v>Declinare il concetto di sostenibilità ambientale nei diversi contesti operativi</c:v>
                </c:pt>
              </c:strCache>
            </c:strRef>
          </c:cat>
          <c:val>
            <c:numRef>
              <c:f>'[Dati VE elaborati.xlsx]Tab Sost'!$AA$312:$AA$316</c:f>
              <c:numCache>
                <c:formatCode>General</c:formatCode>
                <c:ptCount val="5"/>
                <c:pt idx="0">
                  <c:v>28.6</c:v>
                </c:pt>
                <c:pt idx="1">
                  <c:v>29.5</c:v>
                </c:pt>
                <c:pt idx="2">
                  <c:v>35</c:v>
                </c:pt>
                <c:pt idx="3">
                  <c:v>32.6</c:v>
                </c:pt>
                <c:pt idx="4">
                  <c:v>24.7</c:v>
                </c:pt>
              </c:numCache>
            </c:numRef>
          </c:val>
          <c:extLst>
            <c:ext xmlns:c16="http://schemas.microsoft.com/office/drawing/2014/chart" uri="{C3380CC4-5D6E-409C-BE32-E72D297353CC}">
              <c16:uniqueId val="{00000001-B222-468C-8D34-680A71F6C83B}"/>
            </c:ext>
          </c:extLst>
        </c:ser>
        <c:ser>
          <c:idx val="2"/>
          <c:order val="2"/>
          <c:tx>
            <c:strRef>
              <c:f>'[Dati VE elaborati.xlsx]Tab Sost'!$AB$311</c:f>
              <c:strCache>
                <c:ptCount val="1"/>
                <c:pt idx="0">
                  <c:v>da 10 a 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Sost'!$Y$312:$Y$316</c:f>
              <c:strCache>
                <c:ptCount val="5"/>
                <c:pt idx="0">
                  <c:v>Selezionare fornitori sostenibili</c:v>
                </c:pt>
                <c:pt idx="1">
                  <c:v>Monitorare e valutare le pratiche sostenibili dei fornitori</c:v>
                </c:pt>
                <c:pt idx="2">
                  <c:v>Difficoltà a monitorare il rispetto dei principi della sostenibilità lungo tutta la catena di approvvigionamento</c:v>
                </c:pt>
                <c:pt idx="3">
                  <c:v>Rispondere alle diverse normative dei paesi</c:v>
                </c:pt>
                <c:pt idx="4">
                  <c:v>Declinare il concetto di sostenibilità ambientale nei diversi contesti operativi</c:v>
                </c:pt>
              </c:strCache>
            </c:strRef>
          </c:cat>
          <c:val>
            <c:numRef>
              <c:f>'[Dati VE elaborati.xlsx]Tab Sost'!$AB$312:$AB$316</c:f>
              <c:numCache>
                <c:formatCode>General</c:formatCode>
                <c:ptCount val="5"/>
                <c:pt idx="0">
                  <c:v>46.7</c:v>
                </c:pt>
                <c:pt idx="1">
                  <c:v>41.8</c:v>
                </c:pt>
                <c:pt idx="2">
                  <c:v>41.9</c:v>
                </c:pt>
                <c:pt idx="3">
                  <c:v>35.4</c:v>
                </c:pt>
                <c:pt idx="4">
                  <c:v>22.4</c:v>
                </c:pt>
              </c:numCache>
            </c:numRef>
          </c:val>
          <c:extLst>
            <c:ext xmlns:c16="http://schemas.microsoft.com/office/drawing/2014/chart" uri="{C3380CC4-5D6E-409C-BE32-E72D297353CC}">
              <c16:uniqueId val="{00000002-B222-468C-8D34-680A71F6C83B}"/>
            </c:ext>
          </c:extLst>
        </c:ser>
        <c:ser>
          <c:idx val="3"/>
          <c:order val="3"/>
          <c:tx>
            <c:strRef>
              <c:f>'[Dati VE elaborati.xlsx]Tab Sost'!$AC$311</c:f>
              <c:strCache>
                <c:ptCount val="1"/>
                <c:pt idx="0">
                  <c:v>da 25 a 50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Sost'!$Y$312:$Y$316</c:f>
              <c:strCache>
                <c:ptCount val="5"/>
                <c:pt idx="0">
                  <c:v>Selezionare fornitori sostenibili</c:v>
                </c:pt>
                <c:pt idx="1">
                  <c:v>Monitorare e valutare le pratiche sostenibili dei fornitori</c:v>
                </c:pt>
                <c:pt idx="2">
                  <c:v>Difficoltà a monitorare il rispetto dei principi della sostenibilità lungo tutta la catena di approvvigionamento</c:v>
                </c:pt>
                <c:pt idx="3">
                  <c:v>Rispondere alle diverse normative dei paesi</c:v>
                </c:pt>
                <c:pt idx="4">
                  <c:v>Declinare il concetto di sostenibilità ambientale nei diversi contesti operativi</c:v>
                </c:pt>
              </c:strCache>
            </c:strRef>
          </c:cat>
          <c:val>
            <c:numRef>
              <c:f>'[Dati VE elaborati.xlsx]Tab Sost'!$AC$312:$AC$316</c:f>
              <c:numCache>
                <c:formatCode>General</c:formatCode>
                <c:ptCount val="5"/>
                <c:pt idx="0">
                  <c:v>40</c:v>
                </c:pt>
                <c:pt idx="1">
                  <c:v>41.1</c:v>
                </c:pt>
                <c:pt idx="2">
                  <c:v>43.1</c:v>
                </c:pt>
                <c:pt idx="3">
                  <c:v>46.2</c:v>
                </c:pt>
                <c:pt idx="4">
                  <c:v>26.8</c:v>
                </c:pt>
              </c:numCache>
            </c:numRef>
          </c:val>
          <c:extLst>
            <c:ext xmlns:c16="http://schemas.microsoft.com/office/drawing/2014/chart" uri="{C3380CC4-5D6E-409C-BE32-E72D297353CC}">
              <c16:uniqueId val="{00000003-B222-468C-8D34-680A71F6C83B}"/>
            </c:ext>
          </c:extLst>
        </c:ser>
        <c:ser>
          <c:idx val="4"/>
          <c:order val="4"/>
          <c:tx>
            <c:strRef>
              <c:f>'[Dati VE elaborati.xlsx]Tab Sost'!$AD$311</c:f>
              <c:strCache>
                <c:ptCount val="1"/>
                <c:pt idx="0">
                  <c:v>oltre 50</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Sost'!$Y$312:$Y$316</c:f>
              <c:strCache>
                <c:ptCount val="5"/>
                <c:pt idx="0">
                  <c:v>Selezionare fornitori sostenibili</c:v>
                </c:pt>
                <c:pt idx="1">
                  <c:v>Monitorare e valutare le pratiche sostenibili dei fornitori</c:v>
                </c:pt>
                <c:pt idx="2">
                  <c:v>Difficoltà a monitorare il rispetto dei principi della sostenibilità lungo tutta la catena di approvvigionamento</c:v>
                </c:pt>
                <c:pt idx="3">
                  <c:v>Rispondere alle diverse normative dei paesi</c:v>
                </c:pt>
                <c:pt idx="4">
                  <c:v>Declinare il concetto di sostenibilità ambientale nei diversi contesti operativi</c:v>
                </c:pt>
              </c:strCache>
            </c:strRef>
          </c:cat>
          <c:val>
            <c:numRef>
              <c:f>'[Dati VE elaborati.xlsx]Tab Sost'!$AD$312:$AD$316</c:f>
              <c:numCache>
                <c:formatCode>General</c:formatCode>
                <c:ptCount val="5"/>
                <c:pt idx="0">
                  <c:v>44</c:v>
                </c:pt>
                <c:pt idx="1">
                  <c:v>56.9</c:v>
                </c:pt>
                <c:pt idx="2">
                  <c:v>54.3</c:v>
                </c:pt>
                <c:pt idx="3">
                  <c:v>31.6</c:v>
                </c:pt>
                <c:pt idx="4">
                  <c:v>32.5</c:v>
                </c:pt>
              </c:numCache>
            </c:numRef>
          </c:val>
          <c:extLst>
            <c:ext xmlns:c16="http://schemas.microsoft.com/office/drawing/2014/chart" uri="{C3380CC4-5D6E-409C-BE32-E72D297353CC}">
              <c16:uniqueId val="{00000004-B222-468C-8D34-680A71F6C83B}"/>
            </c:ext>
          </c:extLst>
        </c:ser>
        <c:dLbls>
          <c:dLblPos val="outEnd"/>
          <c:showLegendKey val="0"/>
          <c:showVal val="1"/>
          <c:showCatName val="0"/>
          <c:showSerName val="0"/>
          <c:showPercent val="0"/>
          <c:showBubbleSize val="0"/>
        </c:dLbls>
        <c:gapWidth val="219"/>
        <c:overlap val="-27"/>
        <c:axId val="931429984"/>
        <c:axId val="618948992"/>
      </c:barChart>
      <c:catAx>
        <c:axId val="9314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8948992"/>
        <c:crosses val="autoZero"/>
        <c:auto val="1"/>
        <c:lblAlgn val="ctr"/>
        <c:lblOffset val="100"/>
        <c:noMultiLvlLbl val="0"/>
      </c:catAx>
      <c:valAx>
        <c:axId val="61894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314299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'[Dati VE elaborati.xlsx]Tab Digit.'!$O$33</c:f>
              <c:strCache>
                <c:ptCount val="1"/>
                <c:pt idx="0">
                  <c:v>Moltissimo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Digit.'!$N$34:$N$40</c:f>
              <c:strCache>
                <c:ptCount val="7"/>
                <c:pt idx="0">
                  <c:v>Migliore accesso/conoscenza e monitoraggio dei mercati internazionali</c:v>
                </c:pt>
                <c:pt idx="1">
                  <c:v>Elaborazione degli ordini e/o gestione automatizzata degli ordini</c:v>
                </c:pt>
                <c:pt idx="2">
                  <c:v>Pratiche di sdoganamento più semplici e veloci (scambio di documenti)</c:v>
                </c:pt>
                <c:pt idx="3">
                  <c:v>Migliore visibilità dell'inventario e previsione della domanda</c:v>
                </c:pt>
                <c:pt idx="4">
                  <c:v>Conformità automatizzata dei documenti e della sicurezza</c:v>
                </c:pt>
                <c:pt idx="5">
                  <c:v>Aumento delle capacità di servizio/supporto clienti</c:v>
                </c:pt>
                <c:pt idx="6">
                  <c:v>Collaborazione e comunicazione remota più efficienti</c:v>
                </c:pt>
              </c:strCache>
            </c:strRef>
          </c:cat>
          <c:val>
            <c:numRef>
              <c:f>'[Dati VE elaborati.xlsx]Tab Digit.'!$O$34:$O$40</c:f>
              <c:numCache>
                <c:formatCode>0.0</c:formatCode>
                <c:ptCount val="7"/>
                <c:pt idx="0">
                  <c:v>6.1180515105966222</c:v>
                </c:pt>
                <c:pt idx="1">
                  <c:v>10.367474145580701</c:v>
                </c:pt>
                <c:pt idx="2">
                  <c:v>4.7650862343755245</c:v>
                </c:pt>
                <c:pt idx="3">
                  <c:v>3.4428329787067264</c:v>
                </c:pt>
                <c:pt idx="4">
                  <c:v>2.6478533049647281</c:v>
                </c:pt>
                <c:pt idx="5">
                  <c:v>10.676629443036575</c:v>
                </c:pt>
                <c:pt idx="6">
                  <c:v>15.642873987157088</c:v>
                </c:pt>
              </c:numCache>
            </c:numRef>
          </c:val>
          <c:extLst>
            <c:ext xmlns:c16="http://schemas.microsoft.com/office/drawing/2014/chart" uri="{C3380CC4-5D6E-409C-BE32-E72D297353CC}">
              <c16:uniqueId val="{00000000-C5CA-47F4-AD48-6BA9AEF42E91}"/>
            </c:ext>
          </c:extLst>
        </c:ser>
        <c:ser>
          <c:idx val="1"/>
          <c:order val="1"/>
          <c:tx>
            <c:strRef>
              <c:f>'[Dati VE elaborati.xlsx]Tab Digit.'!$P$33</c:f>
              <c:strCache>
                <c:ptCount val="1"/>
                <c:pt idx="0">
                  <c:v>Molto</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Digit.'!$N$34:$N$40</c:f>
              <c:strCache>
                <c:ptCount val="7"/>
                <c:pt idx="0">
                  <c:v>Migliore accesso/conoscenza e monitoraggio dei mercati internazionali</c:v>
                </c:pt>
                <c:pt idx="1">
                  <c:v>Elaborazione degli ordini e/o gestione automatizzata degli ordini</c:v>
                </c:pt>
                <c:pt idx="2">
                  <c:v>Pratiche di sdoganamento più semplici e veloci (scambio di documenti)</c:v>
                </c:pt>
                <c:pt idx="3">
                  <c:v>Migliore visibilità dell'inventario e previsione della domanda</c:v>
                </c:pt>
                <c:pt idx="4">
                  <c:v>Conformità automatizzata dei documenti e della sicurezza</c:v>
                </c:pt>
                <c:pt idx="5">
                  <c:v>Aumento delle capacità di servizio/supporto clienti</c:v>
                </c:pt>
                <c:pt idx="6">
                  <c:v>Collaborazione e comunicazione remota più efficienti</c:v>
                </c:pt>
              </c:strCache>
            </c:strRef>
          </c:cat>
          <c:val>
            <c:numRef>
              <c:f>'[Dati VE elaborati.xlsx]Tab Digit.'!$P$34:$P$40</c:f>
              <c:numCache>
                <c:formatCode>0.0</c:formatCode>
                <c:ptCount val="7"/>
                <c:pt idx="0">
                  <c:v>39.165911779706789</c:v>
                </c:pt>
                <c:pt idx="1">
                  <c:v>45.598657791790764</c:v>
                </c:pt>
                <c:pt idx="2">
                  <c:v>37.87585481891194</c:v>
                </c:pt>
                <c:pt idx="3">
                  <c:v>31.743412772560347</c:v>
                </c:pt>
                <c:pt idx="4">
                  <c:v>36.788164160343214</c:v>
                </c:pt>
                <c:pt idx="5">
                  <c:v>42.302437849271186</c:v>
                </c:pt>
                <c:pt idx="6">
                  <c:v>51.632798316328866</c:v>
                </c:pt>
              </c:numCache>
            </c:numRef>
          </c:val>
          <c:extLst>
            <c:ext xmlns:c16="http://schemas.microsoft.com/office/drawing/2014/chart" uri="{C3380CC4-5D6E-409C-BE32-E72D297353CC}">
              <c16:uniqueId val="{00000001-C5CA-47F4-AD48-6BA9AEF42E91}"/>
            </c:ext>
          </c:extLst>
        </c:ser>
        <c:ser>
          <c:idx val="2"/>
          <c:order val="2"/>
          <c:tx>
            <c:strRef>
              <c:f>'[Dati VE elaborati.xlsx]Tab Digit.'!$Q$33</c:f>
              <c:strCache>
                <c:ptCount val="1"/>
                <c:pt idx="0">
                  <c:v>Poco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Digit.'!$N$34:$N$40</c:f>
              <c:strCache>
                <c:ptCount val="7"/>
                <c:pt idx="0">
                  <c:v>Migliore accesso/conoscenza e monitoraggio dei mercati internazionali</c:v>
                </c:pt>
                <c:pt idx="1">
                  <c:v>Elaborazione degli ordini e/o gestione automatizzata degli ordini</c:v>
                </c:pt>
                <c:pt idx="2">
                  <c:v>Pratiche di sdoganamento più semplici e veloci (scambio di documenti)</c:v>
                </c:pt>
                <c:pt idx="3">
                  <c:v>Migliore visibilità dell'inventario e previsione della domanda</c:v>
                </c:pt>
                <c:pt idx="4">
                  <c:v>Conformità automatizzata dei documenti e della sicurezza</c:v>
                </c:pt>
                <c:pt idx="5">
                  <c:v>Aumento delle capacità di servizio/supporto clienti</c:v>
                </c:pt>
                <c:pt idx="6">
                  <c:v>Collaborazione e comunicazione remota più efficienti</c:v>
                </c:pt>
              </c:strCache>
            </c:strRef>
          </c:cat>
          <c:val>
            <c:numRef>
              <c:f>'[Dati VE elaborati.xlsx]Tab Digit.'!$Q$34:$Q$40</c:f>
              <c:numCache>
                <c:formatCode>0.0</c:formatCode>
                <c:ptCount val="7"/>
                <c:pt idx="0">
                  <c:v>36.110794850984902</c:v>
                </c:pt>
                <c:pt idx="1">
                  <c:v>27.817326347380124</c:v>
                </c:pt>
                <c:pt idx="2">
                  <c:v>36.877038566431402</c:v>
                </c:pt>
                <c:pt idx="3">
                  <c:v>41.648240125114725</c:v>
                </c:pt>
                <c:pt idx="4">
                  <c:v>38.212449861412068</c:v>
                </c:pt>
                <c:pt idx="5">
                  <c:v>29.048430944978911</c:v>
                </c:pt>
                <c:pt idx="6">
                  <c:v>18.934238285210618</c:v>
                </c:pt>
              </c:numCache>
            </c:numRef>
          </c:val>
          <c:extLst>
            <c:ext xmlns:c16="http://schemas.microsoft.com/office/drawing/2014/chart" uri="{C3380CC4-5D6E-409C-BE32-E72D297353CC}">
              <c16:uniqueId val="{00000002-C5CA-47F4-AD48-6BA9AEF42E91}"/>
            </c:ext>
          </c:extLst>
        </c:ser>
        <c:ser>
          <c:idx val="3"/>
          <c:order val="3"/>
          <c:tx>
            <c:strRef>
              <c:f>'[Dati VE elaborati.xlsx]Tab Digit.'!$R$33</c:f>
              <c:strCache>
                <c:ptCount val="1"/>
                <c:pt idx="0">
                  <c:v>Per nulla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Digit.'!$N$34:$N$40</c:f>
              <c:strCache>
                <c:ptCount val="7"/>
                <c:pt idx="0">
                  <c:v>Migliore accesso/conoscenza e monitoraggio dei mercati internazionali</c:v>
                </c:pt>
                <c:pt idx="1">
                  <c:v>Elaborazione degli ordini e/o gestione automatizzata degli ordini</c:v>
                </c:pt>
                <c:pt idx="2">
                  <c:v>Pratiche di sdoganamento più semplici e veloci (scambio di documenti)</c:v>
                </c:pt>
                <c:pt idx="3">
                  <c:v>Migliore visibilità dell'inventario e previsione della domanda</c:v>
                </c:pt>
                <c:pt idx="4">
                  <c:v>Conformità automatizzata dei documenti e della sicurezza</c:v>
                </c:pt>
                <c:pt idx="5">
                  <c:v>Aumento delle capacità di servizio/supporto clienti</c:v>
                </c:pt>
                <c:pt idx="6">
                  <c:v>Collaborazione e comunicazione remota più efficienti</c:v>
                </c:pt>
              </c:strCache>
            </c:strRef>
          </c:cat>
          <c:val>
            <c:numRef>
              <c:f>'[Dati VE elaborati.xlsx]Tab Digit.'!$R$34:$R$40</c:f>
              <c:numCache>
                <c:formatCode>0.0</c:formatCode>
                <c:ptCount val="7"/>
                <c:pt idx="0">
                  <c:v>18.605241858711675</c:v>
                </c:pt>
                <c:pt idx="1">
                  <c:v>16.216541715248407</c:v>
                </c:pt>
                <c:pt idx="2">
                  <c:v>20.482020380281135</c:v>
                </c:pt>
                <c:pt idx="3">
                  <c:v>23.165514123618202</c:v>
                </c:pt>
                <c:pt idx="4">
                  <c:v>22.351532673279976</c:v>
                </c:pt>
                <c:pt idx="5">
                  <c:v>17.972501762713339</c:v>
                </c:pt>
                <c:pt idx="6">
                  <c:v>13.790089411303427</c:v>
                </c:pt>
              </c:numCache>
            </c:numRef>
          </c:val>
          <c:extLst>
            <c:ext xmlns:c16="http://schemas.microsoft.com/office/drawing/2014/chart" uri="{C3380CC4-5D6E-409C-BE32-E72D297353CC}">
              <c16:uniqueId val="{00000003-C5CA-47F4-AD48-6BA9AEF42E91}"/>
            </c:ext>
          </c:extLst>
        </c:ser>
        <c:dLbls>
          <c:dLblPos val="ctr"/>
          <c:showLegendKey val="0"/>
          <c:showVal val="1"/>
          <c:showCatName val="0"/>
          <c:showSerName val="0"/>
          <c:showPercent val="0"/>
          <c:showBubbleSize val="0"/>
        </c:dLbls>
        <c:gapWidth val="150"/>
        <c:overlap val="100"/>
        <c:axId val="543291360"/>
        <c:axId val="1735779856"/>
      </c:barChart>
      <c:catAx>
        <c:axId val="54329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35779856"/>
        <c:crosses val="autoZero"/>
        <c:auto val="1"/>
        <c:lblAlgn val="ctr"/>
        <c:lblOffset val="100"/>
        <c:noMultiLvlLbl val="0"/>
      </c:catAx>
      <c:valAx>
        <c:axId val="1735779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32913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Digit.'!$N$57</c:f>
              <c:strCache>
                <c:ptCount val="1"/>
                <c:pt idx="0">
                  <c:v>Moltissimo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Digit.'!$O$56:$S$56</c:f>
              <c:strCache>
                <c:ptCount val="5"/>
                <c:pt idx="0">
                  <c:v>fino a 2</c:v>
                </c:pt>
                <c:pt idx="1">
                  <c:v>da 2 a 10</c:v>
                </c:pt>
                <c:pt idx="2">
                  <c:v>da 10 a 25</c:v>
                </c:pt>
                <c:pt idx="3">
                  <c:v>da 25 a 50</c:v>
                </c:pt>
                <c:pt idx="4">
                  <c:v>oltre 50</c:v>
                </c:pt>
              </c:strCache>
            </c:strRef>
          </c:cat>
          <c:val>
            <c:numRef>
              <c:f>'[Dati VE elaborati.xlsx]Tab Digit.'!$O$57:$S$57</c:f>
              <c:numCache>
                <c:formatCode>0.0</c:formatCode>
                <c:ptCount val="5"/>
                <c:pt idx="0">
                  <c:v>5.5789682551553375</c:v>
                </c:pt>
                <c:pt idx="1">
                  <c:v>7.5227319317697452</c:v>
                </c:pt>
                <c:pt idx="2">
                  <c:v>16.552561237815556</c:v>
                </c:pt>
                <c:pt idx="3">
                  <c:v>8.8846679337911674</c:v>
                </c:pt>
                <c:pt idx="4">
                  <c:v>13.219078713304114</c:v>
                </c:pt>
              </c:numCache>
            </c:numRef>
          </c:val>
          <c:extLst>
            <c:ext xmlns:c16="http://schemas.microsoft.com/office/drawing/2014/chart" uri="{C3380CC4-5D6E-409C-BE32-E72D297353CC}">
              <c16:uniqueId val="{00000000-36B8-4DC8-82CB-821B875F722B}"/>
            </c:ext>
          </c:extLst>
        </c:ser>
        <c:ser>
          <c:idx val="1"/>
          <c:order val="1"/>
          <c:tx>
            <c:strRef>
              <c:f>'[Dati VE elaborati.xlsx]Tab Digit.'!$N$58</c:f>
              <c:strCache>
                <c:ptCount val="1"/>
                <c:pt idx="0">
                  <c:v>Molto</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Digit.'!$O$56:$S$56</c:f>
              <c:strCache>
                <c:ptCount val="5"/>
                <c:pt idx="0">
                  <c:v>fino a 2</c:v>
                </c:pt>
                <c:pt idx="1">
                  <c:v>da 2 a 10</c:v>
                </c:pt>
                <c:pt idx="2">
                  <c:v>da 10 a 25</c:v>
                </c:pt>
                <c:pt idx="3">
                  <c:v>da 25 a 50</c:v>
                </c:pt>
                <c:pt idx="4">
                  <c:v>oltre 50</c:v>
                </c:pt>
              </c:strCache>
            </c:strRef>
          </c:cat>
          <c:val>
            <c:numRef>
              <c:f>'[Dati VE elaborati.xlsx]Tab Digit.'!$O$58:$S$58</c:f>
              <c:numCache>
                <c:formatCode>0.0</c:formatCode>
                <c:ptCount val="5"/>
                <c:pt idx="0">
                  <c:v>37.842024394595128</c:v>
                </c:pt>
                <c:pt idx="1">
                  <c:v>43.274886077531313</c:v>
                </c:pt>
                <c:pt idx="2">
                  <c:v>51.07319059065324</c:v>
                </c:pt>
                <c:pt idx="3">
                  <c:v>51.684693997584951</c:v>
                </c:pt>
                <c:pt idx="4">
                  <c:v>45.008189611326458</c:v>
                </c:pt>
              </c:numCache>
            </c:numRef>
          </c:val>
          <c:extLst>
            <c:ext xmlns:c16="http://schemas.microsoft.com/office/drawing/2014/chart" uri="{C3380CC4-5D6E-409C-BE32-E72D297353CC}">
              <c16:uniqueId val="{00000001-36B8-4DC8-82CB-821B875F722B}"/>
            </c:ext>
          </c:extLst>
        </c:ser>
        <c:ser>
          <c:idx val="2"/>
          <c:order val="2"/>
          <c:tx>
            <c:strRef>
              <c:f>'[Dati VE elaborati.xlsx]Tab Digit.'!$N$59</c:f>
              <c:strCache>
                <c:ptCount val="1"/>
                <c:pt idx="0">
                  <c:v>Poco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Digit.'!$O$56:$S$56</c:f>
              <c:strCache>
                <c:ptCount val="5"/>
                <c:pt idx="0">
                  <c:v>fino a 2</c:v>
                </c:pt>
                <c:pt idx="1">
                  <c:v>da 2 a 10</c:v>
                </c:pt>
                <c:pt idx="2">
                  <c:v>da 10 a 25</c:v>
                </c:pt>
                <c:pt idx="3">
                  <c:v>da 25 a 50</c:v>
                </c:pt>
                <c:pt idx="4">
                  <c:v>oltre 50</c:v>
                </c:pt>
              </c:strCache>
            </c:strRef>
          </c:cat>
          <c:val>
            <c:numRef>
              <c:f>'[Dati VE elaborati.xlsx]Tab Digit.'!$O$59:$S$59</c:f>
              <c:numCache>
                <c:formatCode>0.0</c:formatCode>
                <c:ptCount val="5"/>
                <c:pt idx="0">
                  <c:v>28.43942763301806</c:v>
                </c:pt>
                <c:pt idx="1">
                  <c:v>28.452183613593839</c:v>
                </c:pt>
                <c:pt idx="2">
                  <c:v>22.871419604777174</c:v>
                </c:pt>
                <c:pt idx="3">
                  <c:v>25.216134236463411</c:v>
                </c:pt>
                <c:pt idx="4">
                  <c:v>36.631158025886378</c:v>
                </c:pt>
              </c:numCache>
            </c:numRef>
          </c:val>
          <c:extLst>
            <c:ext xmlns:c16="http://schemas.microsoft.com/office/drawing/2014/chart" uri="{C3380CC4-5D6E-409C-BE32-E72D297353CC}">
              <c16:uniqueId val="{00000002-36B8-4DC8-82CB-821B875F722B}"/>
            </c:ext>
          </c:extLst>
        </c:ser>
        <c:ser>
          <c:idx val="3"/>
          <c:order val="3"/>
          <c:tx>
            <c:strRef>
              <c:f>'[Dati VE elaborati.xlsx]Tab Digit.'!$N$60</c:f>
              <c:strCache>
                <c:ptCount val="1"/>
                <c:pt idx="0">
                  <c:v>Per nulla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Digit.'!$O$56:$S$56</c:f>
              <c:strCache>
                <c:ptCount val="5"/>
                <c:pt idx="0">
                  <c:v>fino a 2</c:v>
                </c:pt>
                <c:pt idx="1">
                  <c:v>da 2 a 10</c:v>
                </c:pt>
                <c:pt idx="2">
                  <c:v>da 10 a 25</c:v>
                </c:pt>
                <c:pt idx="3">
                  <c:v>da 25 a 50</c:v>
                </c:pt>
                <c:pt idx="4">
                  <c:v>oltre 50</c:v>
                </c:pt>
              </c:strCache>
            </c:strRef>
          </c:cat>
          <c:val>
            <c:numRef>
              <c:f>'[Dati VE elaborati.xlsx]Tab Digit.'!$O$60:$S$60</c:f>
              <c:numCache>
                <c:formatCode>0.0</c:formatCode>
                <c:ptCount val="5"/>
                <c:pt idx="0">
                  <c:v>28.139579717231474</c:v>
                </c:pt>
                <c:pt idx="1">
                  <c:v>20.750198377105114</c:v>
                </c:pt>
                <c:pt idx="2">
                  <c:v>9.5028285667540437</c:v>
                </c:pt>
                <c:pt idx="3">
                  <c:v>14.214503832160483</c:v>
                </c:pt>
                <c:pt idx="4">
                  <c:v>5.1415736494830462</c:v>
                </c:pt>
              </c:numCache>
            </c:numRef>
          </c:val>
          <c:extLst>
            <c:ext xmlns:c16="http://schemas.microsoft.com/office/drawing/2014/chart" uri="{C3380CC4-5D6E-409C-BE32-E72D297353CC}">
              <c16:uniqueId val="{00000003-36B8-4DC8-82CB-821B875F722B}"/>
            </c:ext>
          </c:extLst>
        </c:ser>
        <c:dLbls>
          <c:dLblPos val="ctr"/>
          <c:showLegendKey val="0"/>
          <c:showVal val="1"/>
          <c:showCatName val="0"/>
          <c:showSerName val="0"/>
          <c:showPercent val="0"/>
          <c:showBubbleSize val="0"/>
        </c:dLbls>
        <c:gapWidth val="150"/>
        <c:overlap val="100"/>
        <c:axId val="115701280"/>
        <c:axId val="59550048"/>
      </c:barChart>
      <c:catAx>
        <c:axId val="1157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9550048"/>
        <c:crosses val="autoZero"/>
        <c:auto val="1"/>
        <c:lblAlgn val="ctr"/>
        <c:lblOffset val="100"/>
        <c:noMultiLvlLbl val="0"/>
      </c:catAx>
      <c:valAx>
        <c:axId val="595500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701280"/>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Digit.'!$N$101</c:f>
              <c:strCache>
                <c:ptCount val="1"/>
                <c:pt idx="0">
                  <c:v>Moltissimo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Digit.'!$O$100:$S$100</c:f>
              <c:strCache>
                <c:ptCount val="5"/>
                <c:pt idx="0">
                  <c:v>fino a 2</c:v>
                </c:pt>
                <c:pt idx="1">
                  <c:v>da 2 a 10</c:v>
                </c:pt>
                <c:pt idx="2">
                  <c:v>da 10 a 25</c:v>
                </c:pt>
                <c:pt idx="3">
                  <c:v>da 25 a 50</c:v>
                </c:pt>
                <c:pt idx="4">
                  <c:v>oltre 50</c:v>
                </c:pt>
              </c:strCache>
            </c:strRef>
          </c:cat>
          <c:val>
            <c:numRef>
              <c:f>'[Dati VE elaborati.xlsx]Tab Digit.'!$O$101:$S$101</c:f>
              <c:numCache>
                <c:formatCode>0.0</c:formatCode>
                <c:ptCount val="5"/>
                <c:pt idx="0">
                  <c:v>4.7760875959669029</c:v>
                </c:pt>
                <c:pt idx="1">
                  <c:v>10.654349486517651</c:v>
                </c:pt>
                <c:pt idx="2">
                  <c:v>12.542854966953874</c:v>
                </c:pt>
                <c:pt idx="3">
                  <c:v>8.3010375106069478</c:v>
                </c:pt>
                <c:pt idx="4">
                  <c:v>14.851742612569705</c:v>
                </c:pt>
              </c:numCache>
            </c:numRef>
          </c:val>
          <c:extLst>
            <c:ext xmlns:c16="http://schemas.microsoft.com/office/drawing/2014/chart" uri="{C3380CC4-5D6E-409C-BE32-E72D297353CC}">
              <c16:uniqueId val="{00000000-62D7-4FF9-B5EA-D643785E5F7B}"/>
            </c:ext>
          </c:extLst>
        </c:ser>
        <c:ser>
          <c:idx val="1"/>
          <c:order val="1"/>
          <c:tx>
            <c:strRef>
              <c:f>'[Dati VE elaborati.xlsx]Tab Digit.'!$N$102</c:f>
              <c:strCache>
                <c:ptCount val="1"/>
                <c:pt idx="0">
                  <c:v>Molto</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Digit.'!$O$100:$S$100</c:f>
              <c:strCache>
                <c:ptCount val="5"/>
                <c:pt idx="0">
                  <c:v>fino a 2</c:v>
                </c:pt>
                <c:pt idx="1">
                  <c:v>da 2 a 10</c:v>
                </c:pt>
                <c:pt idx="2">
                  <c:v>da 10 a 25</c:v>
                </c:pt>
                <c:pt idx="3">
                  <c:v>da 25 a 50</c:v>
                </c:pt>
                <c:pt idx="4">
                  <c:v>oltre 50</c:v>
                </c:pt>
              </c:strCache>
            </c:strRef>
          </c:cat>
          <c:val>
            <c:numRef>
              <c:f>'[Dati VE elaborati.xlsx]Tab Digit.'!$O$102:$S$102</c:f>
              <c:numCache>
                <c:formatCode>0.0</c:formatCode>
                <c:ptCount val="5"/>
                <c:pt idx="0">
                  <c:v>23.861916476080321</c:v>
                </c:pt>
                <c:pt idx="1">
                  <c:v>40.439994653970587</c:v>
                </c:pt>
                <c:pt idx="2">
                  <c:v>49.647323138036199</c:v>
                </c:pt>
                <c:pt idx="3">
                  <c:v>44.641304151040778</c:v>
                </c:pt>
                <c:pt idx="4">
                  <c:v>49.973185815258958</c:v>
                </c:pt>
              </c:numCache>
            </c:numRef>
          </c:val>
          <c:extLst>
            <c:ext xmlns:c16="http://schemas.microsoft.com/office/drawing/2014/chart" uri="{C3380CC4-5D6E-409C-BE32-E72D297353CC}">
              <c16:uniqueId val="{00000001-62D7-4FF9-B5EA-D643785E5F7B}"/>
            </c:ext>
          </c:extLst>
        </c:ser>
        <c:ser>
          <c:idx val="2"/>
          <c:order val="2"/>
          <c:tx>
            <c:strRef>
              <c:f>'[Dati VE elaborati.xlsx]Tab Digit.'!$N$103</c:f>
              <c:strCache>
                <c:ptCount val="1"/>
                <c:pt idx="0">
                  <c:v>Poco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Digit.'!$O$100:$S$100</c:f>
              <c:strCache>
                <c:ptCount val="5"/>
                <c:pt idx="0">
                  <c:v>fino a 2</c:v>
                </c:pt>
                <c:pt idx="1">
                  <c:v>da 2 a 10</c:v>
                </c:pt>
                <c:pt idx="2">
                  <c:v>da 10 a 25</c:v>
                </c:pt>
                <c:pt idx="3">
                  <c:v>da 25 a 50</c:v>
                </c:pt>
                <c:pt idx="4">
                  <c:v>oltre 50</c:v>
                </c:pt>
              </c:strCache>
            </c:strRef>
          </c:cat>
          <c:val>
            <c:numRef>
              <c:f>'[Dati VE elaborati.xlsx]Tab Digit.'!$O$103:$S$103</c:f>
              <c:numCache>
                <c:formatCode>0.0</c:formatCode>
                <c:ptCount val="5"/>
                <c:pt idx="0">
                  <c:v>41.274348518886498</c:v>
                </c:pt>
                <c:pt idx="1">
                  <c:v>26.978767582228723</c:v>
                </c:pt>
                <c:pt idx="2">
                  <c:v>25.945353582670748</c:v>
                </c:pt>
                <c:pt idx="3">
                  <c:v>32.304665140323586</c:v>
                </c:pt>
                <c:pt idx="4">
                  <c:v>27.136432735016463</c:v>
                </c:pt>
              </c:numCache>
            </c:numRef>
          </c:val>
          <c:extLst>
            <c:ext xmlns:c16="http://schemas.microsoft.com/office/drawing/2014/chart" uri="{C3380CC4-5D6E-409C-BE32-E72D297353CC}">
              <c16:uniqueId val="{00000002-62D7-4FF9-B5EA-D643785E5F7B}"/>
            </c:ext>
          </c:extLst>
        </c:ser>
        <c:ser>
          <c:idx val="3"/>
          <c:order val="3"/>
          <c:tx>
            <c:strRef>
              <c:f>'[Dati VE elaborati.xlsx]Tab Digit.'!$N$104</c:f>
              <c:strCache>
                <c:ptCount val="1"/>
                <c:pt idx="0">
                  <c:v>Per nulla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Digit.'!$O$100:$S$100</c:f>
              <c:strCache>
                <c:ptCount val="5"/>
                <c:pt idx="0">
                  <c:v>fino a 2</c:v>
                </c:pt>
                <c:pt idx="1">
                  <c:v>da 2 a 10</c:v>
                </c:pt>
                <c:pt idx="2">
                  <c:v>da 10 a 25</c:v>
                </c:pt>
                <c:pt idx="3">
                  <c:v>da 25 a 50</c:v>
                </c:pt>
                <c:pt idx="4">
                  <c:v>oltre 50</c:v>
                </c:pt>
              </c:strCache>
            </c:strRef>
          </c:cat>
          <c:val>
            <c:numRef>
              <c:f>'[Dati VE elaborati.xlsx]Tab Digit.'!$O$104:$S$104</c:f>
              <c:numCache>
                <c:formatCode>0.0</c:formatCode>
                <c:ptCount val="5"/>
                <c:pt idx="0">
                  <c:v>30.087647409066285</c:v>
                </c:pt>
                <c:pt idx="1">
                  <c:v>21.926888277283037</c:v>
                </c:pt>
                <c:pt idx="2">
                  <c:v>11.864468312339179</c:v>
                </c:pt>
                <c:pt idx="3">
                  <c:v>14.75299319802868</c:v>
                </c:pt>
                <c:pt idx="4">
                  <c:v>8.03863883715489</c:v>
                </c:pt>
              </c:numCache>
            </c:numRef>
          </c:val>
          <c:extLst>
            <c:ext xmlns:c16="http://schemas.microsoft.com/office/drawing/2014/chart" uri="{C3380CC4-5D6E-409C-BE32-E72D297353CC}">
              <c16:uniqueId val="{00000003-62D7-4FF9-B5EA-D643785E5F7B}"/>
            </c:ext>
          </c:extLst>
        </c:ser>
        <c:dLbls>
          <c:dLblPos val="ctr"/>
          <c:showLegendKey val="0"/>
          <c:showVal val="1"/>
          <c:showCatName val="0"/>
          <c:showSerName val="0"/>
          <c:showPercent val="0"/>
          <c:showBubbleSize val="0"/>
        </c:dLbls>
        <c:gapWidth val="150"/>
        <c:overlap val="100"/>
        <c:axId val="115667200"/>
        <c:axId val="111279760"/>
      </c:barChart>
      <c:catAx>
        <c:axId val="11566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1279760"/>
        <c:crosses val="autoZero"/>
        <c:auto val="1"/>
        <c:lblAlgn val="ctr"/>
        <c:lblOffset val="100"/>
        <c:noMultiLvlLbl val="0"/>
      </c:catAx>
      <c:valAx>
        <c:axId val="111279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67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Digit.'!$N$112</c:f>
              <c:strCache>
                <c:ptCount val="1"/>
                <c:pt idx="0">
                  <c:v>Moltissimo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Digit.'!$O$111:$S$111</c:f>
              <c:strCache>
                <c:ptCount val="5"/>
                <c:pt idx="0">
                  <c:v>fino a 2</c:v>
                </c:pt>
                <c:pt idx="1">
                  <c:v>da 2 a 10</c:v>
                </c:pt>
                <c:pt idx="2">
                  <c:v>da 10 a 25</c:v>
                </c:pt>
                <c:pt idx="3">
                  <c:v>da 25 a 50</c:v>
                </c:pt>
                <c:pt idx="4">
                  <c:v>oltre 50</c:v>
                </c:pt>
              </c:strCache>
            </c:strRef>
          </c:cat>
          <c:val>
            <c:numRef>
              <c:f>'[Dati VE elaborati.xlsx]Tab Digit.'!$O$112:$S$112</c:f>
              <c:numCache>
                <c:formatCode>0.0</c:formatCode>
                <c:ptCount val="5"/>
                <c:pt idx="0">
                  <c:v>10.332628081741506</c:v>
                </c:pt>
                <c:pt idx="1">
                  <c:v>14.736967064353781</c:v>
                </c:pt>
                <c:pt idx="2">
                  <c:v>15.557584367516982</c:v>
                </c:pt>
                <c:pt idx="3">
                  <c:v>14.688923851955888</c:v>
                </c:pt>
                <c:pt idx="4">
                  <c:v>24.597997183341715</c:v>
                </c:pt>
              </c:numCache>
            </c:numRef>
          </c:val>
          <c:extLst>
            <c:ext xmlns:c16="http://schemas.microsoft.com/office/drawing/2014/chart" uri="{C3380CC4-5D6E-409C-BE32-E72D297353CC}">
              <c16:uniqueId val="{00000000-384A-48CD-A315-8E2A7091436B}"/>
            </c:ext>
          </c:extLst>
        </c:ser>
        <c:ser>
          <c:idx val="1"/>
          <c:order val="1"/>
          <c:tx>
            <c:strRef>
              <c:f>'[Dati VE elaborati.xlsx]Tab Digit.'!$N$113</c:f>
              <c:strCache>
                <c:ptCount val="1"/>
                <c:pt idx="0">
                  <c:v>Molto</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Digit.'!$O$111:$S$111</c:f>
              <c:strCache>
                <c:ptCount val="5"/>
                <c:pt idx="0">
                  <c:v>fino a 2</c:v>
                </c:pt>
                <c:pt idx="1">
                  <c:v>da 2 a 10</c:v>
                </c:pt>
                <c:pt idx="2">
                  <c:v>da 10 a 25</c:v>
                </c:pt>
                <c:pt idx="3">
                  <c:v>da 25 a 50</c:v>
                </c:pt>
                <c:pt idx="4">
                  <c:v>oltre 50</c:v>
                </c:pt>
              </c:strCache>
            </c:strRef>
          </c:cat>
          <c:val>
            <c:numRef>
              <c:f>'[Dati VE elaborati.xlsx]Tab Digit.'!$O$113:$S$113</c:f>
              <c:numCache>
                <c:formatCode>0.0</c:formatCode>
                <c:ptCount val="5"/>
                <c:pt idx="0">
                  <c:v>41.769512530411895</c:v>
                </c:pt>
                <c:pt idx="1">
                  <c:v>49.820030504500004</c:v>
                </c:pt>
                <c:pt idx="2">
                  <c:v>56.923284399429534</c:v>
                </c:pt>
                <c:pt idx="3">
                  <c:v>54.691934687864908</c:v>
                </c:pt>
                <c:pt idx="4">
                  <c:v>54.968807541824326</c:v>
                </c:pt>
              </c:numCache>
            </c:numRef>
          </c:val>
          <c:extLst>
            <c:ext xmlns:c16="http://schemas.microsoft.com/office/drawing/2014/chart" uri="{C3380CC4-5D6E-409C-BE32-E72D297353CC}">
              <c16:uniqueId val="{00000001-384A-48CD-A315-8E2A7091436B}"/>
            </c:ext>
          </c:extLst>
        </c:ser>
        <c:ser>
          <c:idx val="2"/>
          <c:order val="2"/>
          <c:tx>
            <c:strRef>
              <c:f>'[Dati VE elaborati.xlsx]Tab Digit.'!$N$114</c:f>
              <c:strCache>
                <c:ptCount val="1"/>
                <c:pt idx="0">
                  <c:v>Poco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Digit.'!$O$111:$S$111</c:f>
              <c:strCache>
                <c:ptCount val="5"/>
                <c:pt idx="0">
                  <c:v>fino a 2</c:v>
                </c:pt>
                <c:pt idx="1">
                  <c:v>da 2 a 10</c:v>
                </c:pt>
                <c:pt idx="2">
                  <c:v>da 10 a 25</c:v>
                </c:pt>
                <c:pt idx="3">
                  <c:v>da 25 a 50</c:v>
                </c:pt>
                <c:pt idx="4">
                  <c:v>oltre 50</c:v>
                </c:pt>
              </c:strCache>
            </c:strRef>
          </c:cat>
          <c:val>
            <c:numRef>
              <c:f>'[Dati VE elaborati.xlsx]Tab Digit.'!$O$114:$S$114</c:f>
              <c:numCache>
                <c:formatCode>0.0</c:formatCode>
                <c:ptCount val="5"/>
                <c:pt idx="0">
                  <c:v>24.812470906561146</c:v>
                </c:pt>
                <c:pt idx="1">
                  <c:v>17.03992354450255</c:v>
                </c:pt>
                <c:pt idx="2">
                  <c:v>20.502732620972559</c:v>
                </c:pt>
                <c:pt idx="3">
                  <c:v>20.920434630114588</c:v>
                </c:pt>
                <c:pt idx="4">
                  <c:v>14.484667605496995</c:v>
                </c:pt>
              </c:numCache>
            </c:numRef>
          </c:val>
          <c:extLst>
            <c:ext xmlns:c16="http://schemas.microsoft.com/office/drawing/2014/chart" uri="{C3380CC4-5D6E-409C-BE32-E72D297353CC}">
              <c16:uniqueId val="{00000002-384A-48CD-A315-8E2A7091436B}"/>
            </c:ext>
          </c:extLst>
        </c:ser>
        <c:ser>
          <c:idx val="3"/>
          <c:order val="3"/>
          <c:tx>
            <c:strRef>
              <c:f>'[Dati VE elaborati.xlsx]Tab Digit.'!$N$115</c:f>
              <c:strCache>
                <c:ptCount val="1"/>
                <c:pt idx="0">
                  <c:v>Per nulla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Digit.'!$O$111:$S$111</c:f>
              <c:strCache>
                <c:ptCount val="5"/>
                <c:pt idx="0">
                  <c:v>fino a 2</c:v>
                </c:pt>
                <c:pt idx="1">
                  <c:v>da 2 a 10</c:v>
                </c:pt>
                <c:pt idx="2">
                  <c:v>da 10 a 25</c:v>
                </c:pt>
                <c:pt idx="3">
                  <c:v>da 25 a 50</c:v>
                </c:pt>
                <c:pt idx="4">
                  <c:v>oltre 50</c:v>
                </c:pt>
              </c:strCache>
            </c:strRef>
          </c:cat>
          <c:val>
            <c:numRef>
              <c:f>'[Dati VE elaborati.xlsx]Tab Digit.'!$O$115:$S$115</c:f>
              <c:numCache>
                <c:formatCode>0.0</c:formatCode>
                <c:ptCount val="5"/>
                <c:pt idx="0">
                  <c:v>23.085388481285449</c:v>
                </c:pt>
                <c:pt idx="1">
                  <c:v>18.403078886643659</c:v>
                </c:pt>
                <c:pt idx="2">
                  <c:v>7.0163986120809234</c:v>
                </c:pt>
                <c:pt idx="3">
                  <c:v>9.6987068300646051</c:v>
                </c:pt>
                <c:pt idx="4">
                  <c:v>5.9485276693369578</c:v>
                </c:pt>
              </c:numCache>
            </c:numRef>
          </c:val>
          <c:extLst>
            <c:ext xmlns:c16="http://schemas.microsoft.com/office/drawing/2014/chart" uri="{C3380CC4-5D6E-409C-BE32-E72D297353CC}">
              <c16:uniqueId val="{00000003-384A-48CD-A315-8E2A7091436B}"/>
            </c:ext>
          </c:extLst>
        </c:ser>
        <c:dLbls>
          <c:dLblPos val="ctr"/>
          <c:showLegendKey val="0"/>
          <c:showVal val="1"/>
          <c:showCatName val="0"/>
          <c:showSerName val="0"/>
          <c:showPercent val="0"/>
          <c:showBubbleSize val="0"/>
        </c:dLbls>
        <c:gapWidth val="150"/>
        <c:overlap val="100"/>
        <c:axId val="115701760"/>
        <c:axId val="372990000"/>
      </c:barChart>
      <c:catAx>
        <c:axId val="1157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72990000"/>
        <c:crosses val="autoZero"/>
        <c:auto val="1"/>
        <c:lblAlgn val="ctr"/>
        <c:lblOffset val="100"/>
        <c:noMultiLvlLbl val="0"/>
      </c:catAx>
      <c:valAx>
        <c:axId val="3729900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701760"/>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D6-4923-A3D1-20C1201BA7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D6-4923-A3D1-20C1201BA7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D6-4923-A3D1-20C1201BA7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D6-4923-A3D1-20C1201BA7E4}"/>
              </c:ext>
            </c:extLst>
          </c:dPt>
          <c:dLbls>
            <c:dLbl>
              <c:idx val="0"/>
              <c:layout>
                <c:manualLayout>
                  <c:x val="0.23888888888888885"/>
                  <c:y val="-5.5555555555555566E-2"/>
                </c:manualLayout>
              </c:layout>
              <c:showLegendKey val="0"/>
              <c:showVal val="0"/>
              <c:showCatName val="1"/>
              <c:showSerName val="0"/>
              <c:showPercent val="0"/>
              <c:showBubbleSize val="0"/>
              <c:extLst>
                <c:ext xmlns:c15="http://schemas.microsoft.com/office/drawing/2012/chart" uri="{CE6537A1-D6FC-4f65-9D91-7224C49458BB}">
                  <c15:layout>
                    <c:manualLayout>
                      <c:w val="0.24241666666666661"/>
                      <c:h val="0.11560185185185186"/>
                    </c:manualLayout>
                  </c15:layout>
                </c:ext>
                <c:ext xmlns:c16="http://schemas.microsoft.com/office/drawing/2014/chart" uri="{C3380CC4-5D6E-409C-BE32-E72D297353CC}">
                  <c16:uniqueId val="{00000001-E1D6-4923-A3D1-20C1201BA7E4}"/>
                </c:ext>
              </c:extLst>
            </c:dLbl>
            <c:dLbl>
              <c:idx val="1"/>
              <c:layout>
                <c:manualLayout>
                  <c:x val="0.15555555555555556"/>
                  <c:y val="-4.6296296296296294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D6-4923-A3D1-20C1201BA7E4}"/>
                </c:ext>
              </c:extLst>
            </c:dLbl>
            <c:dLbl>
              <c:idx val="2"/>
              <c:layout>
                <c:manualLayout>
                  <c:x val="-0.27222233158355208"/>
                  <c:y val="-8.4875562720133283E-17"/>
                </c:manualLayout>
              </c:layout>
              <c:showLegendKey val="0"/>
              <c:showVal val="0"/>
              <c:showCatName val="1"/>
              <c:showSerName val="0"/>
              <c:showPercent val="0"/>
              <c:showBubbleSize val="0"/>
              <c:extLst>
                <c:ext xmlns:c15="http://schemas.microsoft.com/office/drawing/2012/chart" uri="{CE6537A1-D6FC-4f65-9D91-7224C49458BB}">
                  <c15:layout>
                    <c:manualLayout>
                      <c:w val="0.2439862204724409"/>
                      <c:h val="0.26817147856517937"/>
                    </c:manualLayout>
                  </c15:layout>
                </c:ext>
                <c:ext xmlns:c16="http://schemas.microsoft.com/office/drawing/2014/chart" uri="{C3380CC4-5D6E-409C-BE32-E72D297353CC}">
                  <c16:uniqueId val="{00000005-E1D6-4923-A3D1-20C1201BA7E4}"/>
                </c:ext>
              </c:extLst>
            </c:dLbl>
            <c:dLbl>
              <c:idx val="3"/>
              <c:layout>
                <c:manualLayout>
                  <c:x val="-0.18611111111111112"/>
                  <c:y val="-6.4814814814814811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D6-4923-A3D1-20C1201BA7E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'[Revisione grafici e tabelle.xlsx]Fig 2.1'!$E$4:$E$7</c:f>
              <c:strCache>
                <c:ptCount val="4"/>
                <c:pt idx="0">
                  <c:v>Internazionalizzati a 360° - 6%</c:v>
                </c:pt>
                <c:pt idx="1">
                  <c:v>Esportatori globali - 32,4%</c:v>
                </c:pt>
                <c:pt idx="2">
                  <c:v>Esportatori attenti al mercato domestico - 35,6%</c:v>
                </c:pt>
                <c:pt idx="3">
                  <c:v>Esportatori occasionali/non esportatori - 26%</c:v>
                </c:pt>
              </c:strCache>
            </c:strRef>
          </c:cat>
          <c:val>
            <c:numRef>
              <c:f>'[Revisione grafici e tabelle.xlsx]Fig 2.1'!$F$4:$F$7</c:f>
              <c:numCache>
                <c:formatCode>General</c:formatCode>
                <c:ptCount val="4"/>
                <c:pt idx="0">
                  <c:v>39</c:v>
                </c:pt>
                <c:pt idx="1">
                  <c:v>210</c:v>
                </c:pt>
                <c:pt idx="2">
                  <c:v>231</c:v>
                </c:pt>
                <c:pt idx="3">
                  <c:v>169</c:v>
                </c:pt>
              </c:numCache>
            </c:numRef>
          </c:val>
          <c:extLst>
            <c:ext xmlns:c16="http://schemas.microsoft.com/office/drawing/2014/chart" uri="{C3380CC4-5D6E-409C-BE32-E72D297353CC}">
              <c16:uniqueId val="{00000008-E1D6-4923-A3D1-20C1201BA7E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'[Dati VE elaborati.xlsx]Tab Digit.'!$O$126</c:f>
              <c:strCache>
                <c:ptCount val="1"/>
                <c:pt idx="0">
                  <c:v>Sì</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Digit.'!$N$127:$N$135</c:f>
              <c:strCache>
                <c:ptCount val="9"/>
                <c:pt idx="0">
                  <c:v>Introduzione di un digital export manager</c:v>
                </c:pt>
                <c:pt idx="1">
                  <c:v>Aumento/miglioramento della presenza online (siti web, social, ecc.)</c:v>
                </c:pt>
                <c:pt idx="2">
                  <c:v>Investimenti nel marketing digitale</c:v>
                </c:pt>
                <c:pt idx="3">
                  <c:v>Adozione di software di gestione delle relazioni con i clienti</c:v>
                </c:pt>
                <c:pt idx="4">
                  <c:v>Aumento dell'offerta di servizi virtuali</c:v>
                </c:pt>
                <c:pt idx="5">
                  <c:v>Aumento della formazione/istruzione a distanza offerta ai propri clienti all'estero</c:v>
                </c:pt>
                <c:pt idx="6">
                  <c:v>Adozione sistemi di e-commerce su piattaforma propria</c:v>
                </c:pt>
                <c:pt idx="7">
                  <c:v>Adozione sistemi di e-commerce su piattaforma di terzi</c:v>
                </c:pt>
                <c:pt idx="8">
                  <c:v>Adozione di software necessari alla mappatura e gestione dei rischi, tra i quali anche quelli di sostenibilità ambientale</c:v>
                </c:pt>
              </c:strCache>
            </c:strRef>
          </c:cat>
          <c:val>
            <c:numRef>
              <c:f>'[Dati VE elaborati.xlsx]Tab Digit.'!$O$127:$O$135</c:f>
              <c:numCache>
                <c:formatCode>0.0</c:formatCode>
                <c:ptCount val="9"/>
                <c:pt idx="0">
                  <c:v>8.1157556087162401</c:v>
                </c:pt>
                <c:pt idx="1">
                  <c:v>52.066326896689162</c:v>
                </c:pt>
                <c:pt idx="2">
                  <c:v>38.085015610185401</c:v>
                </c:pt>
                <c:pt idx="3">
                  <c:v>21.927688960579157</c:v>
                </c:pt>
                <c:pt idx="4">
                  <c:v>20.865246094213465</c:v>
                </c:pt>
                <c:pt idx="5">
                  <c:v>30.25102133660133</c:v>
                </c:pt>
                <c:pt idx="6">
                  <c:v>14.839765556524076</c:v>
                </c:pt>
                <c:pt idx="7">
                  <c:v>10.570211300805109</c:v>
                </c:pt>
                <c:pt idx="8">
                  <c:v>34.414407724624795</c:v>
                </c:pt>
              </c:numCache>
            </c:numRef>
          </c:val>
          <c:extLst>
            <c:ext xmlns:c16="http://schemas.microsoft.com/office/drawing/2014/chart" uri="{C3380CC4-5D6E-409C-BE32-E72D297353CC}">
              <c16:uniqueId val="{00000000-EAB3-47B8-A993-8546DECC40E1}"/>
            </c:ext>
          </c:extLst>
        </c:ser>
        <c:ser>
          <c:idx val="1"/>
          <c:order val="1"/>
          <c:tx>
            <c:strRef>
              <c:f>'[Dati VE elaborati.xlsx]Tab Digit.'!$P$126</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Digit.'!$N$127:$N$135</c:f>
              <c:strCache>
                <c:ptCount val="9"/>
                <c:pt idx="0">
                  <c:v>Introduzione di un digital export manager</c:v>
                </c:pt>
                <c:pt idx="1">
                  <c:v>Aumento/miglioramento della presenza online (siti web, social, ecc.)</c:v>
                </c:pt>
                <c:pt idx="2">
                  <c:v>Investimenti nel marketing digitale</c:v>
                </c:pt>
                <c:pt idx="3">
                  <c:v>Adozione di software di gestione delle relazioni con i clienti</c:v>
                </c:pt>
                <c:pt idx="4">
                  <c:v>Aumento dell'offerta di servizi virtuali</c:v>
                </c:pt>
                <c:pt idx="5">
                  <c:v>Aumento della formazione/istruzione a distanza offerta ai propri clienti all'estero</c:v>
                </c:pt>
                <c:pt idx="6">
                  <c:v>Adozione sistemi di e-commerce su piattaforma propria</c:v>
                </c:pt>
                <c:pt idx="7">
                  <c:v>Adozione sistemi di e-commerce su piattaforma di terzi</c:v>
                </c:pt>
                <c:pt idx="8">
                  <c:v>Adozione di software necessari alla mappatura e gestione dei rischi, tra i quali anche quelli di sostenibilità ambientale</c:v>
                </c:pt>
              </c:strCache>
            </c:strRef>
          </c:cat>
          <c:val>
            <c:numRef>
              <c:f>'[Dati VE elaborati.xlsx]Tab Digit.'!$P$127:$P$135</c:f>
              <c:numCache>
                <c:formatCode>0.0</c:formatCode>
                <c:ptCount val="9"/>
                <c:pt idx="0">
                  <c:v>86.742949800743858</c:v>
                </c:pt>
                <c:pt idx="1">
                  <c:v>20.623685201811377</c:v>
                </c:pt>
                <c:pt idx="2">
                  <c:v>48.113500736238926</c:v>
                </c:pt>
                <c:pt idx="3">
                  <c:v>70.819405387602046</c:v>
                </c:pt>
                <c:pt idx="4">
                  <c:v>72.420491725904228</c:v>
                </c:pt>
                <c:pt idx="5">
                  <c:v>61.339494348373535</c:v>
                </c:pt>
                <c:pt idx="6">
                  <c:v>74.186934348948398</c:v>
                </c:pt>
                <c:pt idx="7">
                  <c:v>82.27650794241049</c:v>
                </c:pt>
                <c:pt idx="8">
                  <c:v>61.022013243490989</c:v>
                </c:pt>
              </c:numCache>
            </c:numRef>
          </c:val>
          <c:extLst>
            <c:ext xmlns:c16="http://schemas.microsoft.com/office/drawing/2014/chart" uri="{C3380CC4-5D6E-409C-BE32-E72D297353CC}">
              <c16:uniqueId val="{00000001-EAB3-47B8-A993-8546DECC40E1}"/>
            </c:ext>
          </c:extLst>
        </c:ser>
        <c:ser>
          <c:idx val="2"/>
          <c:order val="2"/>
          <c:tx>
            <c:strRef>
              <c:f>'[Dati VE elaborati.xlsx]Tab Digit.'!$Q$126</c:f>
              <c:strCache>
                <c:ptCount val="1"/>
                <c:pt idx="0">
                  <c:v>Già fatto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Digit.'!$N$127:$N$135</c:f>
              <c:strCache>
                <c:ptCount val="9"/>
                <c:pt idx="0">
                  <c:v>Introduzione di un digital export manager</c:v>
                </c:pt>
                <c:pt idx="1">
                  <c:v>Aumento/miglioramento della presenza online (siti web, social, ecc.)</c:v>
                </c:pt>
                <c:pt idx="2">
                  <c:v>Investimenti nel marketing digitale</c:v>
                </c:pt>
                <c:pt idx="3">
                  <c:v>Adozione di software di gestione delle relazioni con i clienti</c:v>
                </c:pt>
                <c:pt idx="4">
                  <c:v>Aumento dell'offerta di servizi virtuali</c:v>
                </c:pt>
                <c:pt idx="5">
                  <c:v>Aumento della formazione/istruzione a distanza offerta ai propri clienti all'estero</c:v>
                </c:pt>
                <c:pt idx="6">
                  <c:v>Adozione sistemi di e-commerce su piattaforma propria</c:v>
                </c:pt>
                <c:pt idx="7">
                  <c:v>Adozione sistemi di e-commerce su piattaforma di terzi</c:v>
                </c:pt>
                <c:pt idx="8">
                  <c:v>Adozione di software necessari alla mappatura e gestione dei rischi, tra i quali anche quelli di sostenibilità ambientale</c:v>
                </c:pt>
              </c:strCache>
            </c:strRef>
          </c:cat>
          <c:val>
            <c:numRef>
              <c:f>'[Dati VE elaborati.xlsx]Tab Digit.'!$Q$127:$Q$135</c:f>
              <c:numCache>
                <c:formatCode>0.0</c:formatCode>
                <c:ptCount val="9"/>
                <c:pt idx="0">
                  <c:v>5.1412945905398795</c:v>
                </c:pt>
                <c:pt idx="1">
                  <c:v>27.309987901499454</c:v>
                </c:pt>
                <c:pt idx="2">
                  <c:v>13.801483653575671</c:v>
                </c:pt>
                <c:pt idx="3">
                  <c:v>7.2529056518187778</c:v>
                </c:pt>
                <c:pt idx="4">
                  <c:v>6.7142621798822981</c:v>
                </c:pt>
                <c:pt idx="5">
                  <c:v>8.4094843150251446</c:v>
                </c:pt>
                <c:pt idx="6">
                  <c:v>10.973300094527527</c:v>
                </c:pt>
                <c:pt idx="7">
                  <c:v>7.1532807567844037</c:v>
                </c:pt>
                <c:pt idx="8">
                  <c:v>4.5635790318842142</c:v>
                </c:pt>
              </c:numCache>
            </c:numRef>
          </c:val>
          <c:extLst>
            <c:ext xmlns:c16="http://schemas.microsoft.com/office/drawing/2014/chart" uri="{C3380CC4-5D6E-409C-BE32-E72D297353CC}">
              <c16:uniqueId val="{00000002-EAB3-47B8-A993-8546DECC40E1}"/>
            </c:ext>
          </c:extLst>
        </c:ser>
        <c:dLbls>
          <c:dLblPos val="ctr"/>
          <c:showLegendKey val="0"/>
          <c:showVal val="1"/>
          <c:showCatName val="0"/>
          <c:showSerName val="0"/>
          <c:showPercent val="0"/>
          <c:showBubbleSize val="0"/>
        </c:dLbls>
        <c:gapWidth val="150"/>
        <c:overlap val="100"/>
        <c:axId val="543260640"/>
        <c:axId val="1757783424"/>
      </c:barChart>
      <c:catAx>
        <c:axId val="543260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57783424"/>
        <c:crosses val="autoZero"/>
        <c:auto val="1"/>
        <c:lblAlgn val="ctr"/>
        <c:lblOffset val="100"/>
        <c:noMultiLvlLbl val="0"/>
      </c:catAx>
      <c:valAx>
        <c:axId val="1757783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32606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Digit.'!$N$152</c:f>
              <c:strCache>
                <c:ptCount val="1"/>
                <c:pt idx="0">
                  <c:v>Sì</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Digit.'!$O$151:$S$151</c:f>
              <c:strCache>
                <c:ptCount val="5"/>
                <c:pt idx="0">
                  <c:v>fino a 2</c:v>
                </c:pt>
                <c:pt idx="1">
                  <c:v>da 2 a 10</c:v>
                </c:pt>
                <c:pt idx="2">
                  <c:v>da 10 a 25</c:v>
                </c:pt>
                <c:pt idx="3">
                  <c:v>da 25 a 50</c:v>
                </c:pt>
                <c:pt idx="4">
                  <c:v>oltre 50</c:v>
                </c:pt>
              </c:strCache>
            </c:strRef>
          </c:cat>
          <c:val>
            <c:numRef>
              <c:f>'[Dati VE elaborati.xlsx]Tab Digit.'!$O$152:$S$152</c:f>
              <c:numCache>
                <c:formatCode>0.0</c:formatCode>
                <c:ptCount val="5"/>
                <c:pt idx="0">
                  <c:v>43.941305579790864</c:v>
                </c:pt>
                <c:pt idx="1">
                  <c:v>55.923201129304715</c:v>
                </c:pt>
                <c:pt idx="2">
                  <c:v>51.751472221503604</c:v>
                </c:pt>
                <c:pt idx="3">
                  <c:v>48.778287628800555</c:v>
                </c:pt>
                <c:pt idx="4">
                  <c:v>50.712834120470042</c:v>
                </c:pt>
              </c:numCache>
            </c:numRef>
          </c:val>
          <c:extLst>
            <c:ext xmlns:c16="http://schemas.microsoft.com/office/drawing/2014/chart" uri="{C3380CC4-5D6E-409C-BE32-E72D297353CC}">
              <c16:uniqueId val="{00000000-20CD-44C0-AA4F-D10BBC7E9F1F}"/>
            </c:ext>
          </c:extLst>
        </c:ser>
        <c:ser>
          <c:idx val="1"/>
          <c:order val="1"/>
          <c:tx>
            <c:strRef>
              <c:f>'[Dati VE elaborati.xlsx]Tab Digit.'!$N$153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Digit.'!$O$151:$S$151</c:f>
              <c:strCache>
                <c:ptCount val="5"/>
                <c:pt idx="0">
                  <c:v>fino a 2</c:v>
                </c:pt>
                <c:pt idx="1">
                  <c:v>da 2 a 10</c:v>
                </c:pt>
                <c:pt idx="2">
                  <c:v>da 10 a 25</c:v>
                </c:pt>
                <c:pt idx="3">
                  <c:v>da 25 a 50</c:v>
                </c:pt>
                <c:pt idx="4">
                  <c:v>oltre 50</c:v>
                </c:pt>
              </c:strCache>
            </c:strRef>
          </c:cat>
          <c:val>
            <c:numRef>
              <c:f>'[Dati VE elaborati.xlsx]Tab Digit.'!$O$153:$S$153</c:f>
              <c:numCache>
                <c:formatCode>0.0</c:formatCode>
                <c:ptCount val="5"/>
                <c:pt idx="0">
                  <c:v>27.851555769176485</c:v>
                </c:pt>
                <c:pt idx="1">
                  <c:v>19.398964959537849</c:v>
                </c:pt>
                <c:pt idx="2">
                  <c:v>16.862992250801824</c:v>
                </c:pt>
                <c:pt idx="3">
                  <c:v>21.963356910401956</c:v>
                </c:pt>
                <c:pt idx="4">
                  <c:v>23.896981910931412</c:v>
                </c:pt>
              </c:numCache>
            </c:numRef>
          </c:val>
          <c:extLst>
            <c:ext xmlns:c16="http://schemas.microsoft.com/office/drawing/2014/chart" uri="{C3380CC4-5D6E-409C-BE32-E72D297353CC}">
              <c16:uniqueId val="{00000001-20CD-44C0-AA4F-D10BBC7E9F1F}"/>
            </c:ext>
          </c:extLst>
        </c:ser>
        <c:ser>
          <c:idx val="2"/>
          <c:order val="2"/>
          <c:tx>
            <c:strRef>
              <c:f>'[Dati VE elaborati.xlsx]Tab Digit.'!$N$154</c:f>
              <c:strCache>
                <c:ptCount val="1"/>
                <c:pt idx="0">
                  <c:v>Già fatto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Digit.'!$O$151:$S$151</c:f>
              <c:strCache>
                <c:ptCount val="5"/>
                <c:pt idx="0">
                  <c:v>fino a 2</c:v>
                </c:pt>
                <c:pt idx="1">
                  <c:v>da 2 a 10</c:v>
                </c:pt>
                <c:pt idx="2">
                  <c:v>da 10 a 25</c:v>
                </c:pt>
                <c:pt idx="3">
                  <c:v>da 25 a 50</c:v>
                </c:pt>
                <c:pt idx="4">
                  <c:v>oltre 50</c:v>
                </c:pt>
              </c:strCache>
            </c:strRef>
          </c:cat>
          <c:val>
            <c:numRef>
              <c:f>'[Dati VE elaborati.xlsx]Tab Digit.'!$O$154:$S$154</c:f>
              <c:numCache>
                <c:formatCode>0.0</c:formatCode>
                <c:ptCount val="5"/>
                <c:pt idx="0">
                  <c:v>28.207138651032658</c:v>
                </c:pt>
                <c:pt idx="1">
                  <c:v>24.677833911157439</c:v>
                </c:pt>
                <c:pt idx="2">
                  <c:v>31.385535527694568</c:v>
                </c:pt>
                <c:pt idx="3">
                  <c:v>29.258355460797503</c:v>
                </c:pt>
                <c:pt idx="4">
                  <c:v>25.390183968598556</c:v>
                </c:pt>
              </c:numCache>
            </c:numRef>
          </c:val>
          <c:extLst>
            <c:ext xmlns:c16="http://schemas.microsoft.com/office/drawing/2014/chart" uri="{C3380CC4-5D6E-409C-BE32-E72D297353CC}">
              <c16:uniqueId val="{00000002-20CD-44C0-AA4F-D10BBC7E9F1F}"/>
            </c:ext>
          </c:extLst>
        </c:ser>
        <c:dLbls>
          <c:dLblPos val="ctr"/>
          <c:showLegendKey val="0"/>
          <c:showVal val="1"/>
          <c:showCatName val="0"/>
          <c:showSerName val="0"/>
          <c:showPercent val="0"/>
          <c:showBubbleSize val="0"/>
        </c:dLbls>
        <c:gapWidth val="150"/>
        <c:overlap val="100"/>
        <c:axId val="115645120"/>
        <c:axId val="116090032"/>
      </c:barChart>
      <c:catAx>
        <c:axId val="1156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6090032"/>
        <c:crosses val="autoZero"/>
        <c:auto val="1"/>
        <c:lblAlgn val="ctr"/>
        <c:lblOffset val="100"/>
        <c:noMultiLvlLbl val="0"/>
      </c:catAx>
      <c:valAx>
        <c:axId val="1160900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45120"/>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Digit.'!$N$162</c:f>
              <c:strCache>
                <c:ptCount val="1"/>
                <c:pt idx="0">
                  <c:v>Sì</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Digit.'!$O$161:$S$161</c:f>
              <c:strCache>
                <c:ptCount val="5"/>
                <c:pt idx="0">
                  <c:v>fino a 2</c:v>
                </c:pt>
                <c:pt idx="1">
                  <c:v>da 2 a 10</c:v>
                </c:pt>
                <c:pt idx="2">
                  <c:v>da 10 a 25</c:v>
                </c:pt>
                <c:pt idx="3">
                  <c:v>da 25 a 50</c:v>
                </c:pt>
                <c:pt idx="4">
                  <c:v>oltre 50</c:v>
                </c:pt>
              </c:strCache>
            </c:strRef>
          </c:cat>
          <c:val>
            <c:numRef>
              <c:f>'[Dati VE elaborati.xlsx]Tab Digit.'!$O$162:$S$162</c:f>
              <c:numCache>
                <c:formatCode>0.0</c:formatCode>
                <c:ptCount val="5"/>
                <c:pt idx="0">
                  <c:v>28.542528633395687</c:v>
                </c:pt>
                <c:pt idx="1">
                  <c:v>37.039992504673705</c:v>
                </c:pt>
                <c:pt idx="2">
                  <c:v>40.039105703040455</c:v>
                </c:pt>
                <c:pt idx="3">
                  <c:v>37.75376306134357</c:v>
                </c:pt>
                <c:pt idx="4">
                  <c:v>46.24538375569422</c:v>
                </c:pt>
              </c:numCache>
            </c:numRef>
          </c:val>
          <c:extLst>
            <c:ext xmlns:c16="http://schemas.microsoft.com/office/drawing/2014/chart" uri="{C3380CC4-5D6E-409C-BE32-E72D297353CC}">
              <c16:uniqueId val="{00000000-26C8-4A54-88F1-DBC15BAC3951}"/>
            </c:ext>
          </c:extLst>
        </c:ser>
        <c:ser>
          <c:idx val="1"/>
          <c:order val="1"/>
          <c:tx>
            <c:strRef>
              <c:f>'[Dati VE elaborati.xlsx]Tab Digit.'!$N$163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Digit.'!$O$161:$S$161</c:f>
              <c:strCache>
                <c:ptCount val="5"/>
                <c:pt idx="0">
                  <c:v>fino a 2</c:v>
                </c:pt>
                <c:pt idx="1">
                  <c:v>da 2 a 10</c:v>
                </c:pt>
                <c:pt idx="2">
                  <c:v>da 10 a 25</c:v>
                </c:pt>
                <c:pt idx="3">
                  <c:v>da 25 a 50</c:v>
                </c:pt>
                <c:pt idx="4">
                  <c:v>oltre 50</c:v>
                </c:pt>
              </c:strCache>
            </c:strRef>
          </c:cat>
          <c:val>
            <c:numRef>
              <c:f>'[Dati VE elaborati.xlsx]Tab Digit.'!$O$163:$S$163</c:f>
              <c:numCache>
                <c:formatCode>0.0</c:formatCode>
                <c:ptCount val="5"/>
                <c:pt idx="0">
                  <c:v>62.666157310812963</c:v>
                </c:pt>
                <c:pt idx="1">
                  <c:v>49.929401974301925</c:v>
                </c:pt>
                <c:pt idx="2">
                  <c:v>43.191994790500829</c:v>
                </c:pt>
                <c:pt idx="3">
                  <c:v>52.118852570656081</c:v>
                </c:pt>
                <c:pt idx="4">
                  <c:v>34.42150577926391</c:v>
                </c:pt>
              </c:numCache>
            </c:numRef>
          </c:val>
          <c:extLst>
            <c:ext xmlns:c16="http://schemas.microsoft.com/office/drawing/2014/chart" uri="{C3380CC4-5D6E-409C-BE32-E72D297353CC}">
              <c16:uniqueId val="{00000001-26C8-4A54-88F1-DBC15BAC3951}"/>
            </c:ext>
          </c:extLst>
        </c:ser>
        <c:ser>
          <c:idx val="2"/>
          <c:order val="2"/>
          <c:tx>
            <c:strRef>
              <c:f>'[Dati VE elaborati.xlsx]Tab Digit.'!$N$164</c:f>
              <c:strCache>
                <c:ptCount val="1"/>
                <c:pt idx="0">
                  <c:v>Già fatto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Digit.'!$O$161:$S$161</c:f>
              <c:strCache>
                <c:ptCount val="5"/>
                <c:pt idx="0">
                  <c:v>fino a 2</c:v>
                </c:pt>
                <c:pt idx="1">
                  <c:v>da 2 a 10</c:v>
                </c:pt>
                <c:pt idx="2">
                  <c:v>da 10 a 25</c:v>
                </c:pt>
                <c:pt idx="3">
                  <c:v>da 25 a 50</c:v>
                </c:pt>
                <c:pt idx="4">
                  <c:v>oltre 50</c:v>
                </c:pt>
              </c:strCache>
            </c:strRef>
          </c:cat>
          <c:val>
            <c:numRef>
              <c:f>'[Dati VE elaborati.xlsx]Tab Digit.'!$O$164:$S$164</c:f>
              <c:numCache>
                <c:formatCode>0.0</c:formatCode>
                <c:ptCount val="5"/>
                <c:pt idx="0">
                  <c:v>8.7913140557913447</c:v>
                </c:pt>
                <c:pt idx="1">
                  <c:v>13.030605521024363</c:v>
                </c:pt>
                <c:pt idx="2">
                  <c:v>16.768899506458705</c:v>
                </c:pt>
                <c:pt idx="3">
                  <c:v>10.127384368000339</c:v>
                </c:pt>
                <c:pt idx="4">
                  <c:v>19.33311046504188</c:v>
                </c:pt>
              </c:numCache>
            </c:numRef>
          </c:val>
          <c:extLst>
            <c:ext xmlns:c16="http://schemas.microsoft.com/office/drawing/2014/chart" uri="{C3380CC4-5D6E-409C-BE32-E72D297353CC}">
              <c16:uniqueId val="{00000002-26C8-4A54-88F1-DBC15BAC3951}"/>
            </c:ext>
          </c:extLst>
        </c:ser>
        <c:dLbls>
          <c:dLblPos val="ctr"/>
          <c:showLegendKey val="0"/>
          <c:showVal val="1"/>
          <c:showCatName val="0"/>
          <c:showSerName val="0"/>
          <c:showPercent val="0"/>
          <c:showBubbleSize val="0"/>
        </c:dLbls>
        <c:gapWidth val="150"/>
        <c:overlap val="100"/>
        <c:axId val="115664320"/>
        <c:axId val="1184445312"/>
      </c:barChart>
      <c:catAx>
        <c:axId val="1156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84445312"/>
        <c:crosses val="autoZero"/>
        <c:auto val="1"/>
        <c:lblAlgn val="ctr"/>
        <c:lblOffset val="100"/>
        <c:noMultiLvlLbl val="0"/>
      </c:catAx>
      <c:valAx>
        <c:axId val="11844453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64320"/>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Digit.'!$N$222</c:f>
              <c:strCache>
                <c:ptCount val="1"/>
                <c:pt idx="0">
                  <c:v>Sì</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Digit.'!$O$221:$S$221</c:f>
              <c:strCache>
                <c:ptCount val="5"/>
                <c:pt idx="0">
                  <c:v>fino a 2</c:v>
                </c:pt>
                <c:pt idx="1">
                  <c:v>da 2 a 10</c:v>
                </c:pt>
                <c:pt idx="2">
                  <c:v>da 10 a 25</c:v>
                </c:pt>
                <c:pt idx="3">
                  <c:v>da 25 a 50</c:v>
                </c:pt>
                <c:pt idx="4">
                  <c:v>oltre 50</c:v>
                </c:pt>
              </c:strCache>
            </c:strRef>
          </c:cat>
          <c:val>
            <c:numRef>
              <c:f>'[Dati VE elaborati.xlsx]Tab Digit.'!$O$222:$S$222</c:f>
              <c:numCache>
                <c:formatCode>0.0</c:formatCode>
                <c:ptCount val="5"/>
                <c:pt idx="0">
                  <c:v>15.920764300697732</c:v>
                </c:pt>
                <c:pt idx="1">
                  <c:v>27.138837912134161</c:v>
                </c:pt>
                <c:pt idx="2">
                  <c:v>43.664902263314552</c:v>
                </c:pt>
                <c:pt idx="3">
                  <c:v>31.500597627192974</c:v>
                </c:pt>
                <c:pt idx="4">
                  <c:v>59.623801487747905</c:v>
                </c:pt>
              </c:numCache>
            </c:numRef>
          </c:val>
          <c:extLst>
            <c:ext xmlns:c16="http://schemas.microsoft.com/office/drawing/2014/chart" uri="{C3380CC4-5D6E-409C-BE32-E72D297353CC}">
              <c16:uniqueId val="{00000000-39EF-4AA7-AF98-37096DDEF80D}"/>
            </c:ext>
          </c:extLst>
        </c:ser>
        <c:ser>
          <c:idx val="1"/>
          <c:order val="1"/>
          <c:tx>
            <c:strRef>
              <c:f>'[Dati VE elaborati.xlsx]Tab Digit.'!$N$223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Digit.'!$O$221:$S$221</c:f>
              <c:strCache>
                <c:ptCount val="5"/>
                <c:pt idx="0">
                  <c:v>fino a 2</c:v>
                </c:pt>
                <c:pt idx="1">
                  <c:v>da 2 a 10</c:v>
                </c:pt>
                <c:pt idx="2">
                  <c:v>da 10 a 25</c:v>
                </c:pt>
                <c:pt idx="3">
                  <c:v>da 25 a 50</c:v>
                </c:pt>
                <c:pt idx="4">
                  <c:v>oltre 50</c:v>
                </c:pt>
              </c:strCache>
            </c:strRef>
          </c:cat>
          <c:val>
            <c:numRef>
              <c:f>'[Dati VE elaborati.xlsx]Tab Digit.'!$O$223:$S$223</c:f>
              <c:numCache>
                <c:formatCode>0.0</c:formatCode>
                <c:ptCount val="5"/>
                <c:pt idx="0">
                  <c:v>79.835446264865382</c:v>
                </c:pt>
                <c:pt idx="1">
                  <c:v>67.888843667405638</c:v>
                </c:pt>
                <c:pt idx="2">
                  <c:v>50.019391605957523</c:v>
                </c:pt>
                <c:pt idx="3">
                  <c:v>66.254419722612852</c:v>
                </c:pt>
                <c:pt idx="4">
                  <c:v>37.732899874722875</c:v>
                </c:pt>
              </c:numCache>
            </c:numRef>
          </c:val>
          <c:extLst>
            <c:ext xmlns:c16="http://schemas.microsoft.com/office/drawing/2014/chart" uri="{C3380CC4-5D6E-409C-BE32-E72D297353CC}">
              <c16:uniqueId val="{00000001-39EF-4AA7-AF98-37096DDEF80D}"/>
            </c:ext>
          </c:extLst>
        </c:ser>
        <c:ser>
          <c:idx val="2"/>
          <c:order val="2"/>
          <c:tx>
            <c:strRef>
              <c:f>'[Dati VE elaborati.xlsx]Tab Digit.'!$N$224</c:f>
              <c:strCache>
                <c:ptCount val="1"/>
                <c:pt idx="0">
                  <c:v>Già fatto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Digit.'!$O$221:$S$221</c:f>
              <c:strCache>
                <c:ptCount val="5"/>
                <c:pt idx="0">
                  <c:v>fino a 2</c:v>
                </c:pt>
                <c:pt idx="1">
                  <c:v>da 2 a 10</c:v>
                </c:pt>
                <c:pt idx="2">
                  <c:v>da 10 a 25</c:v>
                </c:pt>
                <c:pt idx="3">
                  <c:v>da 25 a 50</c:v>
                </c:pt>
                <c:pt idx="4">
                  <c:v>oltre 50</c:v>
                </c:pt>
              </c:strCache>
            </c:strRef>
          </c:cat>
          <c:val>
            <c:numRef>
              <c:f>'[Dati VE elaborati.xlsx]Tab Digit.'!$O$224:$S$224</c:f>
              <c:numCache>
                <c:formatCode>0.0</c:formatCode>
                <c:ptCount val="5"/>
                <c:pt idx="0">
                  <c:v>4.2437894344368825</c:v>
                </c:pt>
                <c:pt idx="1">
                  <c:v>4.9723184204602102</c:v>
                </c:pt>
                <c:pt idx="2">
                  <c:v>6.3157061307279312</c:v>
                </c:pt>
                <c:pt idx="3">
                  <c:v>2.2449826501941668</c:v>
                </c:pt>
                <c:pt idx="4">
                  <c:v>2.6432986375292264</c:v>
                </c:pt>
              </c:numCache>
            </c:numRef>
          </c:val>
          <c:extLst>
            <c:ext xmlns:c16="http://schemas.microsoft.com/office/drawing/2014/chart" uri="{C3380CC4-5D6E-409C-BE32-E72D297353CC}">
              <c16:uniqueId val="{00000002-39EF-4AA7-AF98-37096DDEF80D}"/>
            </c:ext>
          </c:extLst>
        </c:ser>
        <c:dLbls>
          <c:dLblPos val="ctr"/>
          <c:showLegendKey val="0"/>
          <c:showVal val="1"/>
          <c:showCatName val="0"/>
          <c:showSerName val="0"/>
          <c:showPercent val="0"/>
          <c:showBubbleSize val="0"/>
        </c:dLbls>
        <c:gapWidth val="150"/>
        <c:overlap val="100"/>
        <c:axId val="115662400"/>
        <c:axId val="116090528"/>
      </c:barChart>
      <c:catAx>
        <c:axId val="1156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6090528"/>
        <c:crosses val="autoZero"/>
        <c:auto val="1"/>
        <c:lblAlgn val="ctr"/>
        <c:lblOffset val="100"/>
        <c:noMultiLvlLbl val="0"/>
      </c:catAx>
      <c:valAx>
        <c:axId val="1160905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62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Digit.'!$N$202</c:f>
              <c:strCache>
                <c:ptCount val="1"/>
                <c:pt idx="0">
                  <c:v>Sì</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Digit.'!$O$201:$S$201</c:f>
              <c:strCache>
                <c:ptCount val="5"/>
                <c:pt idx="0">
                  <c:v>fino a 2</c:v>
                </c:pt>
                <c:pt idx="1">
                  <c:v>da 2 a 10</c:v>
                </c:pt>
                <c:pt idx="2">
                  <c:v>da 10 a 25</c:v>
                </c:pt>
                <c:pt idx="3">
                  <c:v>da 25 a 50</c:v>
                </c:pt>
                <c:pt idx="4">
                  <c:v>oltre 50</c:v>
                </c:pt>
              </c:strCache>
            </c:strRef>
          </c:cat>
          <c:val>
            <c:numRef>
              <c:f>'[Dati VE elaborati.xlsx]Tab Digit.'!$O$202:$S$202</c:f>
              <c:numCache>
                <c:formatCode>0.0</c:formatCode>
                <c:ptCount val="5"/>
                <c:pt idx="0">
                  <c:v>17.574158841154279</c:v>
                </c:pt>
                <c:pt idx="1">
                  <c:v>11.328540100401305</c:v>
                </c:pt>
                <c:pt idx="2">
                  <c:v>19.127098187001927</c:v>
                </c:pt>
                <c:pt idx="3">
                  <c:v>9.6639787664329226</c:v>
                </c:pt>
                <c:pt idx="4">
                  <c:v>21.803225169432476</c:v>
                </c:pt>
              </c:numCache>
            </c:numRef>
          </c:val>
          <c:extLst>
            <c:ext xmlns:c16="http://schemas.microsoft.com/office/drawing/2014/chart" uri="{C3380CC4-5D6E-409C-BE32-E72D297353CC}">
              <c16:uniqueId val="{00000000-89F6-4006-AF8B-C443FBE5B8DE}"/>
            </c:ext>
          </c:extLst>
        </c:ser>
        <c:ser>
          <c:idx val="1"/>
          <c:order val="1"/>
          <c:tx>
            <c:strRef>
              <c:f>'[Dati VE elaborati.xlsx]Tab Digit.'!$N$203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Digit.'!$O$201:$S$201</c:f>
              <c:strCache>
                <c:ptCount val="5"/>
                <c:pt idx="0">
                  <c:v>fino a 2</c:v>
                </c:pt>
                <c:pt idx="1">
                  <c:v>da 2 a 10</c:v>
                </c:pt>
                <c:pt idx="2">
                  <c:v>da 10 a 25</c:v>
                </c:pt>
                <c:pt idx="3">
                  <c:v>da 25 a 50</c:v>
                </c:pt>
                <c:pt idx="4">
                  <c:v>oltre 50</c:v>
                </c:pt>
              </c:strCache>
            </c:strRef>
          </c:cat>
          <c:val>
            <c:numRef>
              <c:f>'[Dati VE elaborati.xlsx]Tab Digit.'!$O$203:$S$203</c:f>
              <c:numCache>
                <c:formatCode>0.0</c:formatCode>
                <c:ptCount val="5"/>
                <c:pt idx="0">
                  <c:v>70.061526010892834</c:v>
                </c:pt>
                <c:pt idx="1">
                  <c:v>76.400541045571813</c:v>
                </c:pt>
                <c:pt idx="2">
                  <c:v>73.616798913945161</c:v>
                </c:pt>
                <c:pt idx="3">
                  <c:v>80.591175569532624</c:v>
                </c:pt>
                <c:pt idx="4">
                  <c:v>65.034155127400183</c:v>
                </c:pt>
              </c:numCache>
            </c:numRef>
          </c:val>
          <c:extLst>
            <c:ext xmlns:c16="http://schemas.microsoft.com/office/drawing/2014/chart" uri="{C3380CC4-5D6E-409C-BE32-E72D297353CC}">
              <c16:uniqueId val="{00000001-89F6-4006-AF8B-C443FBE5B8DE}"/>
            </c:ext>
          </c:extLst>
        </c:ser>
        <c:ser>
          <c:idx val="2"/>
          <c:order val="2"/>
          <c:tx>
            <c:strRef>
              <c:f>'[Dati VE elaborati.xlsx]Tab Digit.'!$N$204</c:f>
              <c:strCache>
                <c:ptCount val="1"/>
                <c:pt idx="0">
                  <c:v>Già fatto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Digit.'!$O$201:$S$201</c:f>
              <c:strCache>
                <c:ptCount val="5"/>
                <c:pt idx="0">
                  <c:v>fino a 2</c:v>
                </c:pt>
                <c:pt idx="1">
                  <c:v>da 2 a 10</c:v>
                </c:pt>
                <c:pt idx="2">
                  <c:v>da 10 a 25</c:v>
                </c:pt>
                <c:pt idx="3">
                  <c:v>da 25 a 50</c:v>
                </c:pt>
                <c:pt idx="4">
                  <c:v>oltre 50</c:v>
                </c:pt>
              </c:strCache>
            </c:strRef>
          </c:cat>
          <c:val>
            <c:numRef>
              <c:f>'[Dati VE elaborati.xlsx]Tab Digit.'!$O$204:$S$204</c:f>
              <c:numCache>
                <c:formatCode>0.0</c:formatCode>
                <c:ptCount val="5"/>
                <c:pt idx="0">
                  <c:v>12.364315147952896</c:v>
                </c:pt>
                <c:pt idx="1">
                  <c:v>12.270918854026872</c:v>
                </c:pt>
                <c:pt idx="2">
                  <c:v>7.2561028990529168</c:v>
                </c:pt>
                <c:pt idx="3">
                  <c:v>9.7448456640344396</c:v>
                </c:pt>
                <c:pt idx="4">
                  <c:v>13.16261970316735</c:v>
                </c:pt>
              </c:numCache>
            </c:numRef>
          </c:val>
          <c:extLst>
            <c:ext xmlns:c16="http://schemas.microsoft.com/office/drawing/2014/chart" uri="{C3380CC4-5D6E-409C-BE32-E72D297353CC}">
              <c16:uniqueId val="{00000002-89F6-4006-AF8B-C443FBE5B8DE}"/>
            </c:ext>
          </c:extLst>
        </c:ser>
        <c:dLbls>
          <c:dLblPos val="ctr"/>
          <c:showLegendKey val="0"/>
          <c:showVal val="1"/>
          <c:showCatName val="0"/>
          <c:showSerName val="0"/>
          <c:showPercent val="0"/>
          <c:showBubbleSize val="0"/>
        </c:dLbls>
        <c:gapWidth val="150"/>
        <c:overlap val="100"/>
        <c:axId val="115684960"/>
        <c:axId val="111279264"/>
      </c:barChart>
      <c:catAx>
        <c:axId val="1156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1279264"/>
        <c:crosses val="autoZero"/>
        <c:auto val="1"/>
        <c:lblAlgn val="ctr"/>
        <c:lblOffset val="100"/>
        <c:noMultiLvlLbl val="0"/>
      </c:catAx>
      <c:valAx>
        <c:axId val="1112792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84960"/>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'[Dati VE elaborati.xlsx]Tab Digit.'!$N$212</c:f>
              <c:strCache>
                <c:ptCount val="1"/>
                <c:pt idx="0">
                  <c:v>Sì</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Digit.'!$O$211:$S$211</c:f>
              <c:strCache>
                <c:ptCount val="5"/>
                <c:pt idx="0">
                  <c:v>fino a 2</c:v>
                </c:pt>
                <c:pt idx="1">
                  <c:v>da 2 a 10</c:v>
                </c:pt>
                <c:pt idx="2">
                  <c:v>da 10 a 25</c:v>
                </c:pt>
                <c:pt idx="3">
                  <c:v>da 25 a 50</c:v>
                </c:pt>
                <c:pt idx="4">
                  <c:v>oltre 50</c:v>
                </c:pt>
              </c:strCache>
            </c:strRef>
          </c:cat>
          <c:val>
            <c:numRef>
              <c:f>'[Dati VE elaborati.xlsx]Tab Digit.'!$O$212:$S$212</c:f>
              <c:numCache>
                <c:formatCode>0.0</c:formatCode>
                <c:ptCount val="5"/>
                <c:pt idx="0">
                  <c:v>9.7662174715273782</c:v>
                </c:pt>
                <c:pt idx="1">
                  <c:v>10.10937674689513</c:v>
                </c:pt>
                <c:pt idx="2">
                  <c:v>15.814898617482598</c:v>
                </c:pt>
                <c:pt idx="3">
                  <c:v>2.970025916318785</c:v>
                </c:pt>
                <c:pt idx="4">
                  <c:v>11.259374133915047</c:v>
                </c:pt>
              </c:numCache>
            </c:numRef>
          </c:val>
          <c:extLst>
            <c:ext xmlns:c16="http://schemas.microsoft.com/office/drawing/2014/chart" uri="{C3380CC4-5D6E-409C-BE32-E72D297353CC}">
              <c16:uniqueId val="{00000000-32DE-4E14-845A-712D2A6767AE}"/>
            </c:ext>
          </c:extLst>
        </c:ser>
        <c:ser>
          <c:idx val="1"/>
          <c:order val="1"/>
          <c:tx>
            <c:strRef>
              <c:f>'[Dati VE elaborati.xlsx]Tab Digit.'!$N$213</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Digit.'!$O$211:$S$211</c:f>
              <c:strCache>
                <c:ptCount val="5"/>
                <c:pt idx="0">
                  <c:v>fino a 2</c:v>
                </c:pt>
                <c:pt idx="1">
                  <c:v>da 2 a 10</c:v>
                </c:pt>
                <c:pt idx="2">
                  <c:v>da 10 a 25</c:v>
                </c:pt>
                <c:pt idx="3">
                  <c:v>da 25 a 50</c:v>
                </c:pt>
                <c:pt idx="4">
                  <c:v>oltre 50</c:v>
                </c:pt>
              </c:strCache>
            </c:strRef>
          </c:cat>
          <c:val>
            <c:numRef>
              <c:f>'[Dati VE elaborati.xlsx]Tab Digit.'!$O$213:$S$213</c:f>
              <c:numCache>
                <c:formatCode>0.0</c:formatCode>
                <c:ptCount val="5"/>
                <c:pt idx="0">
                  <c:v>82.396772362324853</c:v>
                </c:pt>
                <c:pt idx="1">
                  <c:v>80.977340798765169</c:v>
                </c:pt>
                <c:pt idx="2">
                  <c:v>77.678902515079088</c:v>
                </c:pt>
                <c:pt idx="3">
                  <c:v>93.860502265863772</c:v>
                </c:pt>
                <c:pt idx="4">
                  <c:v>83.225616873542776</c:v>
                </c:pt>
              </c:numCache>
            </c:numRef>
          </c:val>
          <c:extLst>
            <c:ext xmlns:c16="http://schemas.microsoft.com/office/drawing/2014/chart" uri="{C3380CC4-5D6E-409C-BE32-E72D297353CC}">
              <c16:uniqueId val="{00000001-32DE-4E14-845A-712D2A6767AE}"/>
            </c:ext>
          </c:extLst>
        </c:ser>
        <c:ser>
          <c:idx val="2"/>
          <c:order val="2"/>
          <c:tx>
            <c:strRef>
              <c:f>'[Dati VE elaborati.xlsx]Tab Digit.'!$N$214</c:f>
              <c:strCache>
                <c:ptCount val="1"/>
                <c:pt idx="0">
                  <c:v>Già fatto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 VE elaborati.xlsx]Tab Digit.'!$O$211:$S$211</c:f>
              <c:strCache>
                <c:ptCount val="5"/>
                <c:pt idx="0">
                  <c:v>fino a 2</c:v>
                </c:pt>
                <c:pt idx="1">
                  <c:v>da 2 a 10</c:v>
                </c:pt>
                <c:pt idx="2">
                  <c:v>da 10 a 25</c:v>
                </c:pt>
                <c:pt idx="3">
                  <c:v>da 25 a 50</c:v>
                </c:pt>
                <c:pt idx="4">
                  <c:v>oltre 50</c:v>
                </c:pt>
              </c:strCache>
            </c:strRef>
          </c:cat>
          <c:val>
            <c:numRef>
              <c:f>'[Dati VE elaborati.xlsx]Tab Digit.'!$O$214:$S$214</c:f>
              <c:numCache>
                <c:formatCode>0.0</c:formatCode>
                <c:ptCount val="5"/>
                <c:pt idx="0">
                  <c:v>7.8370101661477678</c:v>
                </c:pt>
                <c:pt idx="1">
                  <c:v>8.913282454339706</c:v>
                </c:pt>
                <c:pt idx="2">
                  <c:v>6.5061988674383144</c:v>
                </c:pt>
                <c:pt idx="3">
                  <c:v>3.1694718178174388</c:v>
                </c:pt>
                <c:pt idx="4">
                  <c:v>5.515008992542179</c:v>
                </c:pt>
              </c:numCache>
            </c:numRef>
          </c:val>
          <c:extLst>
            <c:ext xmlns:c16="http://schemas.microsoft.com/office/drawing/2014/chart" uri="{C3380CC4-5D6E-409C-BE32-E72D297353CC}">
              <c16:uniqueId val="{00000002-32DE-4E14-845A-712D2A6767AE}"/>
            </c:ext>
          </c:extLst>
        </c:ser>
        <c:dLbls>
          <c:dLblPos val="ctr"/>
          <c:showLegendKey val="0"/>
          <c:showVal val="1"/>
          <c:showCatName val="0"/>
          <c:showSerName val="0"/>
          <c:showPercent val="0"/>
          <c:showBubbleSize val="0"/>
        </c:dLbls>
        <c:gapWidth val="150"/>
        <c:overlap val="100"/>
        <c:axId val="115660480"/>
        <c:axId val="116820208"/>
      </c:barChart>
      <c:catAx>
        <c:axId val="1156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6820208"/>
        <c:crosses val="autoZero"/>
        <c:auto val="1"/>
        <c:lblAlgn val="ctr"/>
        <c:lblOffset val="100"/>
        <c:noMultiLvlLbl val="0"/>
      </c:catAx>
      <c:valAx>
        <c:axId val="1168202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5660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70169237441311"/>
          <c:y val="0.10702901720618256"/>
          <c:w val="0.68995968985252198"/>
          <c:h val="0.73614173228346458"/>
        </c:manualLayout>
      </c:layout>
      <c:barChart>
        <c:barDir val="bar"/>
        <c:grouping val="stacked"/>
        <c:varyColors val="0"/>
        <c:ser>
          <c:idx val="0"/>
          <c:order val="0"/>
          <c:tx>
            <c:strRef>
              <c:f>'[Revisione grafici e tabelle.xlsx]Fig 2.2'!$B$4</c:f>
              <c:strCache>
                <c:ptCount val="1"/>
                <c:pt idx="0">
                  <c:v>Italia</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 2.2'!$C$3:$F$3</c:f>
              <c:strCache>
                <c:ptCount val="4"/>
                <c:pt idx="0">
                  <c:v>Internaz. a 360°</c:v>
                </c:pt>
                <c:pt idx="1">
                  <c:v>Esportatori globali</c:v>
                </c:pt>
                <c:pt idx="2">
                  <c:v>Esportatori attenti al mercato domestico</c:v>
                </c:pt>
                <c:pt idx="3">
                  <c:v>Esportatori occasionali - Non esportatori</c:v>
                </c:pt>
              </c:strCache>
            </c:strRef>
          </c:cat>
          <c:val>
            <c:numRef>
              <c:f>'[Revisione grafici e tabelle.xlsx]Fig 2.2'!$C$4:$F$4</c:f>
              <c:numCache>
                <c:formatCode>0.0%</c:formatCode>
                <c:ptCount val="4"/>
                <c:pt idx="0">
                  <c:v>0.39287179487179502</c:v>
                </c:pt>
                <c:pt idx="1">
                  <c:v>0.2661695238095238</c:v>
                </c:pt>
                <c:pt idx="2">
                  <c:v>0.76135887445887396</c:v>
                </c:pt>
                <c:pt idx="3">
                  <c:v>0.98238994082840236</c:v>
                </c:pt>
              </c:numCache>
            </c:numRef>
          </c:val>
          <c:extLst>
            <c:ext xmlns:c16="http://schemas.microsoft.com/office/drawing/2014/chart" uri="{C3380CC4-5D6E-409C-BE32-E72D297353CC}">
              <c16:uniqueId val="{00000000-E7D0-4C71-8E71-BF989B8A45DA}"/>
            </c:ext>
          </c:extLst>
        </c:ser>
        <c:ser>
          <c:idx val="1"/>
          <c:order val="1"/>
          <c:tx>
            <c:strRef>
              <c:f>'[Revisione grafici e tabelle.xlsx]Fig 2.2'!$B$5</c:f>
              <c:strCache>
                <c:ptCount val="1"/>
                <c:pt idx="0">
                  <c:v>Unione Europea</c:v>
                </c:pt>
              </c:strCache>
            </c:strRef>
          </c:tx>
          <c:spPr>
            <a:solidFill>
              <a:srgbClr val="FFC000"/>
            </a:solidFill>
            <a:ln>
              <a:noFill/>
            </a:ln>
            <a:effectLst/>
          </c:spPr>
          <c:invertIfNegative val="0"/>
          <c:dLbls>
            <c:dLbl>
              <c:idx val="3"/>
              <c:layout>
                <c:manualLayout>
                  <c:x val="-3.6612543775867555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D0-4C71-8E71-BF989B8A4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 2.2'!$C$3:$F$3</c:f>
              <c:strCache>
                <c:ptCount val="4"/>
                <c:pt idx="0">
                  <c:v>Internaz. a 360°</c:v>
                </c:pt>
                <c:pt idx="1">
                  <c:v>Esportatori globali</c:v>
                </c:pt>
                <c:pt idx="2">
                  <c:v>Esportatori attenti al mercato domestico</c:v>
                </c:pt>
                <c:pt idx="3">
                  <c:v>Esportatori occasionali - Non esportatori</c:v>
                </c:pt>
              </c:strCache>
            </c:strRef>
          </c:cat>
          <c:val>
            <c:numRef>
              <c:f>'[Revisione grafici e tabelle.xlsx]Fig 2.2'!$C$5:$F$5</c:f>
              <c:numCache>
                <c:formatCode>0.0%</c:formatCode>
                <c:ptCount val="4"/>
                <c:pt idx="0">
                  <c:v>0.29685897435897429</c:v>
                </c:pt>
                <c:pt idx="1">
                  <c:v>0.44945666666666667</c:v>
                </c:pt>
                <c:pt idx="2">
                  <c:v>0.15971948051948054</c:v>
                </c:pt>
                <c:pt idx="3">
                  <c:v>1.3259171597633134E-2</c:v>
                </c:pt>
              </c:numCache>
            </c:numRef>
          </c:val>
          <c:extLst>
            <c:ext xmlns:c16="http://schemas.microsoft.com/office/drawing/2014/chart" uri="{C3380CC4-5D6E-409C-BE32-E72D297353CC}">
              <c16:uniqueId val="{00000002-E7D0-4C71-8E71-BF989B8A45DA}"/>
            </c:ext>
          </c:extLst>
        </c:ser>
        <c:ser>
          <c:idx val="2"/>
          <c:order val="2"/>
          <c:tx>
            <c:strRef>
              <c:f>'[Revisione grafici e tabelle.xlsx]Fig 2.2'!$B$6</c:f>
              <c:strCache>
                <c:ptCount val="1"/>
                <c:pt idx="0">
                  <c:v>Paesi extra UE</c:v>
                </c:pt>
              </c:strCache>
            </c:strRef>
          </c:tx>
          <c:spPr>
            <a:solidFill>
              <a:schemeClr val="accent6"/>
            </a:solidFill>
            <a:ln>
              <a:noFill/>
            </a:ln>
            <a:effectLst/>
          </c:spPr>
          <c:invertIfNegative val="0"/>
          <c:dLbls>
            <c:dLbl>
              <c:idx val="3"/>
              <c:layout>
                <c:manualLayout>
                  <c:x val="1.9102196752626317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D0-4C71-8E71-BF989B8A45D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 2.2'!$C$3:$F$3</c:f>
              <c:strCache>
                <c:ptCount val="4"/>
                <c:pt idx="0">
                  <c:v>Internaz. a 360°</c:v>
                </c:pt>
                <c:pt idx="1">
                  <c:v>Esportatori globali</c:v>
                </c:pt>
                <c:pt idx="2">
                  <c:v>Esportatori attenti al mercato domestico</c:v>
                </c:pt>
                <c:pt idx="3">
                  <c:v>Esportatori occasionali - Non esportatori</c:v>
                </c:pt>
              </c:strCache>
            </c:strRef>
          </c:cat>
          <c:val>
            <c:numRef>
              <c:f>'[Revisione grafici e tabelle.xlsx]Fig 2.2'!$C$6:$F$6</c:f>
              <c:numCache>
                <c:formatCode>0.0%</c:formatCode>
                <c:ptCount val="4"/>
                <c:pt idx="0">
                  <c:v>0.31026923076923074</c:v>
                </c:pt>
                <c:pt idx="1">
                  <c:v>0.28437380952380947</c:v>
                </c:pt>
                <c:pt idx="2">
                  <c:v>7.8921645021645018E-2</c:v>
                </c:pt>
                <c:pt idx="3">
                  <c:v>4.3508875739644969E-3</c:v>
                </c:pt>
              </c:numCache>
            </c:numRef>
          </c:val>
          <c:extLst>
            <c:ext xmlns:c16="http://schemas.microsoft.com/office/drawing/2014/chart" uri="{C3380CC4-5D6E-409C-BE32-E72D297353CC}">
              <c16:uniqueId val="{00000004-E7D0-4C71-8E71-BF989B8A45DA}"/>
            </c:ext>
          </c:extLst>
        </c:ser>
        <c:dLbls>
          <c:showLegendKey val="0"/>
          <c:showVal val="0"/>
          <c:showCatName val="0"/>
          <c:showSerName val="0"/>
          <c:showPercent val="0"/>
          <c:showBubbleSize val="0"/>
        </c:dLbls>
        <c:gapWidth val="150"/>
        <c:overlap val="100"/>
        <c:axId val="967198160"/>
        <c:axId val="1505886576"/>
      </c:barChart>
      <c:catAx>
        <c:axId val="967198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5886576"/>
        <c:crosses val="autoZero"/>
        <c:auto val="1"/>
        <c:lblAlgn val="ctr"/>
        <c:lblOffset val="100"/>
        <c:noMultiLvlLbl val="0"/>
      </c:catAx>
      <c:valAx>
        <c:axId val="15058865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671981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'[Revisione grafici e tabelle.xlsx]Tab. 2.1'!$D$22</c:f>
              <c:strCache>
                <c:ptCount val="1"/>
                <c:pt idx="0">
                  <c:v>Valore medio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tabelle.xlsx]Tab. 2.1'!$C$23:$C$36</c:f>
              <c:strCache>
                <c:ptCount val="14"/>
                <c:pt idx="0">
                  <c:v>Esportazioni dirette al cliente finale</c:v>
                </c:pt>
                <c:pt idx="1">
                  <c:v>Importazioni di materiali e componenti</c:v>
                </c:pt>
                <c:pt idx="2">
                  <c:v>Vendita occasionale</c:v>
                </c:pt>
                <c:pt idx="3">
                  <c:v>Esportazioni in regime di subfornitura</c:v>
                </c:pt>
                <c:pt idx="4">
                  <c:v>Nessun rapporto</c:v>
                </c:pt>
                <c:pt idx="5">
                  <c:v>Vendita all'estero con proprie filiali commerciali o negozi</c:v>
                </c:pt>
                <c:pt idx="6">
                  <c:v>Uffici di rappresentanza commerciale (no filiali/negozi)</c:v>
                </c:pt>
                <c:pt idx="7">
                  <c:v>Produzione all'estero con proprie sedi e stabilimenti</c:v>
                </c:pt>
                <c:pt idx="8">
                  <c:v>Acquisto di impianti e tecnologie dall'estero</c:v>
                </c:pt>
                <c:pt idx="9">
                  <c:v>Produzione all'estero con accordi/contratti con imprese locali</c:v>
                </c:pt>
                <c:pt idx="10">
                  <c:v>Joint ventures con vendita all'estero</c:v>
                </c:pt>
                <c:pt idx="11">
                  <c:v>Produzione affidata in licenza all'estero</c:v>
                </c:pt>
                <c:pt idx="12">
                  <c:v>Franchising all'estero</c:v>
                </c:pt>
                <c:pt idx="13">
                  <c:v>Joint ventures con produzione all'estero</c:v>
                </c:pt>
              </c:strCache>
            </c:strRef>
          </c:cat>
          <c:val>
            <c:numRef>
              <c:f>'[Revisione grafici e tabelle.xlsx]Tab. 2.1'!$D$23:$D$36</c:f>
              <c:numCache>
                <c:formatCode>General</c:formatCode>
                <c:ptCount val="14"/>
                <c:pt idx="0">
                  <c:v>58.2</c:v>
                </c:pt>
                <c:pt idx="1">
                  <c:v>21.9</c:v>
                </c:pt>
                <c:pt idx="2">
                  <c:v>16</c:v>
                </c:pt>
                <c:pt idx="3">
                  <c:v>15.4</c:v>
                </c:pt>
                <c:pt idx="4">
                  <c:v>13.4</c:v>
                </c:pt>
                <c:pt idx="5">
                  <c:v>9.6</c:v>
                </c:pt>
                <c:pt idx="6">
                  <c:v>7.2</c:v>
                </c:pt>
                <c:pt idx="7">
                  <c:v>4.8</c:v>
                </c:pt>
                <c:pt idx="8">
                  <c:v>4</c:v>
                </c:pt>
                <c:pt idx="9">
                  <c:v>2.9</c:v>
                </c:pt>
                <c:pt idx="10">
                  <c:v>1.7</c:v>
                </c:pt>
                <c:pt idx="11">
                  <c:v>0.5</c:v>
                </c:pt>
                <c:pt idx="12">
                  <c:v>0.3</c:v>
                </c:pt>
                <c:pt idx="13">
                  <c:v>0.3</c:v>
                </c:pt>
              </c:numCache>
            </c:numRef>
          </c:val>
          <c:extLst>
            <c:ext xmlns:c16="http://schemas.microsoft.com/office/drawing/2014/chart" uri="{C3380CC4-5D6E-409C-BE32-E72D297353CC}">
              <c16:uniqueId val="{00000000-4945-454E-B6FF-3E34AFAD27C7}"/>
            </c:ext>
          </c:extLst>
        </c:ser>
        <c:dLbls>
          <c:showLegendKey val="0"/>
          <c:showVal val="0"/>
          <c:showCatName val="0"/>
          <c:showSerName val="0"/>
          <c:showPercent val="0"/>
          <c:showBubbleSize val="0"/>
        </c:dLbls>
        <c:gapWidth val="182"/>
        <c:axId val="33859808"/>
        <c:axId val="1854056688"/>
      </c:barChart>
      <c:catAx>
        <c:axId val="33859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056688"/>
        <c:crosses val="autoZero"/>
        <c:auto val="1"/>
        <c:lblAlgn val="ctr"/>
        <c:lblOffset val="100"/>
        <c:noMultiLvlLbl val="0"/>
      </c:catAx>
      <c:valAx>
        <c:axId val="185405668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385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'[Revisione grafici e tabelle.xlsx]Figura 2.4'!$B$5</c:f>
              <c:strCache>
                <c:ptCount val="1"/>
                <c:pt idx="0">
                  <c:v>1-49 add.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2.4'!$C$4:$F$4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2.4'!$C$5:$F$5</c:f>
              <c:numCache>
                <c:formatCode>General</c:formatCode>
                <c:ptCount val="4"/>
                <c:pt idx="0">
                  <c:v>15</c:v>
                </c:pt>
                <c:pt idx="1">
                  <c:v>94</c:v>
                </c:pt>
                <c:pt idx="2">
                  <c:v>127</c:v>
                </c:pt>
                <c:pt idx="3">
                  <c:v>123</c:v>
                </c:pt>
              </c:numCache>
            </c:numRef>
          </c:val>
          <c:extLst>
            <c:ext xmlns:c16="http://schemas.microsoft.com/office/drawing/2014/chart" uri="{C3380CC4-5D6E-409C-BE32-E72D297353CC}">
              <c16:uniqueId val="{00000000-CA53-4346-990B-E5962CA97D85}"/>
            </c:ext>
          </c:extLst>
        </c:ser>
        <c:ser>
          <c:idx val="1"/>
          <c:order val="1"/>
          <c:tx>
            <c:strRef>
              <c:f>'[Revisione grafici e tabelle.xlsx]Figura 2.4'!$B$6</c:f>
              <c:strCache>
                <c:ptCount val="1"/>
                <c:pt idx="0">
                  <c:v>50-249 add.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2.4'!$C$4:$F$4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2.4'!$C$6:$F$6</c:f>
              <c:numCache>
                <c:formatCode>General</c:formatCode>
                <c:ptCount val="4"/>
                <c:pt idx="0">
                  <c:v>10</c:v>
                </c:pt>
                <c:pt idx="1">
                  <c:v>89</c:v>
                </c:pt>
                <c:pt idx="2">
                  <c:v>94</c:v>
                </c:pt>
                <c:pt idx="3">
                  <c:v>40</c:v>
                </c:pt>
              </c:numCache>
            </c:numRef>
          </c:val>
          <c:extLst>
            <c:ext xmlns:c16="http://schemas.microsoft.com/office/drawing/2014/chart" uri="{C3380CC4-5D6E-409C-BE32-E72D297353CC}">
              <c16:uniqueId val="{00000001-CA53-4346-990B-E5962CA97D85}"/>
            </c:ext>
          </c:extLst>
        </c:ser>
        <c:ser>
          <c:idx val="2"/>
          <c:order val="2"/>
          <c:tx>
            <c:strRef>
              <c:f>'[Revisione grafici e tabelle.xlsx]Figura 2.4'!$B$7</c:f>
              <c:strCache>
                <c:ptCount val="1"/>
                <c:pt idx="0">
                  <c:v>250+ add.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2.4'!$C$4:$F$4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2.4'!$C$7:$F$7</c:f>
              <c:numCache>
                <c:formatCode>General</c:formatCode>
                <c:ptCount val="4"/>
                <c:pt idx="0">
                  <c:v>14</c:v>
                </c:pt>
                <c:pt idx="1">
                  <c:v>27</c:v>
                </c:pt>
                <c:pt idx="2">
                  <c:v>10</c:v>
                </c:pt>
                <c:pt idx="3">
                  <c:v>6</c:v>
                </c:pt>
              </c:numCache>
            </c:numRef>
          </c:val>
          <c:extLst>
            <c:ext xmlns:c16="http://schemas.microsoft.com/office/drawing/2014/chart" uri="{C3380CC4-5D6E-409C-BE32-E72D297353CC}">
              <c16:uniqueId val="{00000002-CA53-4346-990B-E5962CA97D85}"/>
            </c:ext>
          </c:extLst>
        </c:ser>
        <c:dLbls>
          <c:showLegendKey val="0"/>
          <c:showVal val="0"/>
          <c:showCatName val="0"/>
          <c:showSerName val="0"/>
          <c:showPercent val="0"/>
          <c:showBubbleSize val="0"/>
        </c:dLbls>
        <c:gapWidth val="150"/>
        <c:overlap val="100"/>
        <c:axId val="1130543791"/>
        <c:axId val="1119436783"/>
      </c:barChart>
      <c:catAx>
        <c:axId val="1130543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19436783"/>
        <c:crosses val="autoZero"/>
        <c:auto val="1"/>
        <c:lblAlgn val="ctr"/>
        <c:lblOffset val="100"/>
        <c:noMultiLvlLbl val="0"/>
      </c:catAx>
      <c:valAx>
        <c:axId val="1119436783"/>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054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'[Revisione grafici e tabelle.xlsx]Figura 2,5'!$B$5</c:f>
              <c:strCache>
                <c:ptCount val="1"/>
                <c:pt idx="0">
                  <c:v>Fino a 2 milioni di Euro</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2,5'!$C$4:$F$4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2,5'!$C$5:$F$5</c:f>
              <c:numCache>
                <c:formatCode>0</c:formatCode>
                <c:ptCount val="4"/>
                <c:pt idx="0">
                  <c:v>2</c:v>
                </c:pt>
                <c:pt idx="1">
                  <c:v>16</c:v>
                </c:pt>
                <c:pt idx="2">
                  <c:v>19</c:v>
                </c:pt>
                <c:pt idx="3">
                  <c:v>35</c:v>
                </c:pt>
              </c:numCache>
            </c:numRef>
          </c:val>
          <c:extLst>
            <c:ext xmlns:c16="http://schemas.microsoft.com/office/drawing/2014/chart" uri="{C3380CC4-5D6E-409C-BE32-E72D297353CC}">
              <c16:uniqueId val="{00000000-F421-4027-97EA-C3C68A64B6FA}"/>
            </c:ext>
          </c:extLst>
        </c:ser>
        <c:ser>
          <c:idx val="1"/>
          <c:order val="1"/>
          <c:tx>
            <c:strRef>
              <c:f>'[Revisione grafici e tabelle.xlsx]Figura 2,5'!$B$6</c:f>
              <c:strCache>
                <c:ptCount val="1"/>
                <c:pt idx="0">
                  <c:v>Da 2 a 10 milioni di Euro</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2,5'!$C$4:$F$4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2,5'!$C$6:$F$6</c:f>
              <c:numCache>
                <c:formatCode>0</c:formatCode>
                <c:ptCount val="4"/>
                <c:pt idx="0">
                  <c:v>4</c:v>
                </c:pt>
                <c:pt idx="1">
                  <c:v>68</c:v>
                </c:pt>
                <c:pt idx="2">
                  <c:v>91</c:v>
                </c:pt>
                <c:pt idx="3">
                  <c:v>80</c:v>
                </c:pt>
              </c:numCache>
            </c:numRef>
          </c:val>
          <c:extLst>
            <c:ext xmlns:c16="http://schemas.microsoft.com/office/drawing/2014/chart" uri="{C3380CC4-5D6E-409C-BE32-E72D297353CC}">
              <c16:uniqueId val="{00000001-F421-4027-97EA-C3C68A64B6FA}"/>
            </c:ext>
          </c:extLst>
        </c:ser>
        <c:ser>
          <c:idx val="2"/>
          <c:order val="2"/>
          <c:tx>
            <c:strRef>
              <c:f>'[Revisione grafici e tabelle.xlsx]Figura 2,5'!$B$7</c:f>
              <c:strCache>
                <c:ptCount val="1"/>
                <c:pt idx="0">
                  <c:v>Da 10 a 25 milioni di Euro</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2,5'!$C$4:$F$4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2,5'!$C$7:$F$7</c:f>
              <c:numCache>
                <c:formatCode>0</c:formatCode>
                <c:ptCount val="4"/>
                <c:pt idx="0">
                  <c:v>7</c:v>
                </c:pt>
                <c:pt idx="1">
                  <c:v>50</c:v>
                </c:pt>
                <c:pt idx="2">
                  <c:v>62</c:v>
                </c:pt>
                <c:pt idx="3">
                  <c:v>33</c:v>
                </c:pt>
              </c:numCache>
            </c:numRef>
          </c:val>
          <c:extLst>
            <c:ext xmlns:c16="http://schemas.microsoft.com/office/drawing/2014/chart" uri="{C3380CC4-5D6E-409C-BE32-E72D297353CC}">
              <c16:uniqueId val="{00000002-F421-4027-97EA-C3C68A64B6FA}"/>
            </c:ext>
          </c:extLst>
        </c:ser>
        <c:ser>
          <c:idx val="3"/>
          <c:order val="3"/>
          <c:tx>
            <c:strRef>
              <c:f>'[Revisione grafici e tabelle.xlsx]Figura 2,5'!$B$8</c:f>
              <c:strCache>
                <c:ptCount val="1"/>
                <c:pt idx="0">
                  <c:v>Da 25 a 50 milioni di Euro</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2,5'!$C$4:$F$4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2,5'!$C$8:$F$8</c:f>
              <c:numCache>
                <c:formatCode>0</c:formatCode>
                <c:ptCount val="4"/>
                <c:pt idx="0">
                  <c:v>5</c:v>
                </c:pt>
                <c:pt idx="1">
                  <c:v>33</c:v>
                </c:pt>
                <c:pt idx="2">
                  <c:v>36</c:v>
                </c:pt>
                <c:pt idx="3">
                  <c:v>7</c:v>
                </c:pt>
              </c:numCache>
            </c:numRef>
          </c:val>
          <c:extLst>
            <c:ext xmlns:c16="http://schemas.microsoft.com/office/drawing/2014/chart" uri="{C3380CC4-5D6E-409C-BE32-E72D297353CC}">
              <c16:uniqueId val="{00000003-F421-4027-97EA-C3C68A64B6FA}"/>
            </c:ext>
          </c:extLst>
        </c:ser>
        <c:ser>
          <c:idx val="4"/>
          <c:order val="4"/>
          <c:tx>
            <c:strRef>
              <c:f>'[Revisione grafici e tabelle.xlsx]Figura 2,5'!$B$9</c:f>
              <c:strCache>
                <c:ptCount val="1"/>
                <c:pt idx="0">
                  <c:v>Oltre 5o milioni di Euro</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'[Revisione grafici e tabelle.xlsx]Figura 2,5'!$C$4:$F$4</c:f>
              <c:strCache>
                <c:ptCount val="4"/>
                <c:pt idx="0">
                  <c:v>Internazionalizzate a 360°</c:v>
                </c:pt>
                <c:pt idx="1">
                  <c:v>Esportatori globali</c:v>
                </c:pt>
                <c:pt idx="2">
                  <c:v>Esportatori attenti al mercato domestico</c:v>
                </c:pt>
                <c:pt idx="3">
                  <c:v>Esportatori occasionali/non esportatori</c:v>
                </c:pt>
              </c:strCache>
            </c:strRef>
          </c:cat>
          <c:val>
            <c:numRef>
              <c:f>'[Revisione grafici e tabelle.xlsx]Figura 2,5'!$C$9:$F$9</c:f>
              <c:numCache>
                <c:formatCode>0</c:formatCode>
                <c:ptCount val="4"/>
                <c:pt idx="0">
                  <c:v>21</c:v>
                </c:pt>
                <c:pt idx="1">
                  <c:v>43</c:v>
                </c:pt>
                <c:pt idx="2">
                  <c:v>23</c:v>
                </c:pt>
                <c:pt idx="3">
                  <c:v>12</c:v>
                </c:pt>
              </c:numCache>
            </c:numRef>
          </c:val>
          <c:extLst>
            <c:ext xmlns:c16="http://schemas.microsoft.com/office/drawing/2014/chart" uri="{C3380CC4-5D6E-409C-BE32-E72D297353CC}">
              <c16:uniqueId val="{00000004-F421-4027-97EA-C3C68A64B6FA}"/>
            </c:ext>
          </c:extLst>
        </c:ser>
        <c:dLbls>
          <c:showLegendKey val="0"/>
          <c:showVal val="0"/>
          <c:showCatName val="0"/>
          <c:showSerName val="0"/>
          <c:showPercent val="0"/>
          <c:showBubbleSize val="0"/>
        </c:dLbls>
        <c:gapWidth val="150"/>
        <c:overlap val="100"/>
        <c:axId val="1130543791"/>
        <c:axId val="1119436783"/>
      </c:barChart>
      <c:catAx>
        <c:axId val="1130543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19436783"/>
        <c:crosses val="autoZero"/>
        <c:auto val="1"/>
        <c:lblAlgn val="ctr"/>
        <c:lblOffset val="100"/>
        <c:noMultiLvlLbl val="0"/>
      </c:catAx>
      <c:valAx>
        <c:axId val="1119436783"/>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054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'[Dati VE elaborati.xlsx]Export'!$D$231</c:f>
              <c:strCache>
                <c:ptCount val="1"/>
                <c:pt idx="0">
                  <c:v>Metalmeccanico</c:v>
                </c:pt>
              </c:strCache>
            </c:strRef>
          </c:tx>
          <c:spPr>
            <a:solidFill>
              <a:schemeClr val="accent1"/>
            </a:solidFill>
            <a:ln>
              <a:noFill/>
            </a:ln>
            <a:effectLst/>
          </c:spPr>
          <c:invertIfNegative val="0"/>
          <c:cat>
            <c:strRef>
              <c:f>'[Dati VE elaborati.xlsx]Export'!$C$232:$C$241</c:f>
              <c:strCache>
                <c:ptCount val="10"/>
                <c:pt idx="0">
                  <c:v>Paesi Bassi (Olanda)</c:v>
                </c:pt>
                <c:pt idx="1">
                  <c:v>Svizzera</c:v>
                </c:pt>
                <c:pt idx="2">
                  <c:v>Slovenia</c:v>
                </c:pt>
                <c:pt idx="3">
                  <c:v>Romania</c:v>
                </c:pt>
                <c:pt idx="4">
                  <c:v>Spagna</c:v>
                </c:pt>
                <c:pt idx="5">
                  <c:v>Austria</c:v>
                </c:pt>
                <c:pt idx="6">
                  <c:v>Regno Unito</c:v>
                </c:pt>
                <c:pt idx="7">
                  <c:v>Stati Uniti d'America</c:v>
                </c:pt>
                <c:pt idx="8">
                  <c:v>Francia</c:v>
                </c:pt>
                <c:pt idx="9">
                  <c:v>Germania</c:v>
                </c:pt>
              </c:strCache>
            </c:strRef>
          </c:cat>
          <c:val>
            <c:numRef>
              <c:f>'[Dati VE elaborati.xlsx]Export'!$D$232:$D$241</c:f>
              <c:numCache>
                <c:formatCode>0.0</c:formatCode>
                <c:ptCount val="10"/>
                <c:pt idx="0">
                  <c:v>1.4579735599798913</c:v>
                </c:pt>
                <c:pt idx="1">
                  <c:v>1.9933932389572788</c:v>
                </c:pt>
                <c:pt idx="2">
                  <c:v>1.1909584974363763</c:v>
                </c:pt>
                <c:pt idx="3">
                  <c:v>1.7195621276863613</c:v>
                </c:pt>
                <c:pt idx="4">
                  <c:v>1.145095413553326</c:v>
                </c:pt>
                <c:pt idx="5">
                  <c:v>5.9424758912264712</c:v>
                </c:pt>
                <c:pt idx="6">
                  <c:v>5.4575112020556231</c:v>
                </c:pt>
                <c:pt idx="7">
                  <c:v>11.390036089420908</c:v>
                </c:pt>
                <c:pt idx="8">
                  <c:v>16.076301405658377</c:v>
                </c:pt>
                <c:pt idx="9">
                  <c:v>26.932401437173947</c:v>
                </c:pt>
              </c:numCache>
            </c:numRef>
          </c:val>
          <c:extLst>
            <c:ext xmlns:c16="http://schemas.microsoft.com/office/drawing/2014/chart" uri="{C3380CC4-5D6E-409C-BE32-E72D297353CC}">
              <c16:uniqueId val="{00000000-8495-4071-BDB1-C3B3DB39A8C4}"/>
            </c:ext>
          </c:extLst>
        </c:ser>
        <c:ser>
          <c:idx val="1"/>
          <c:order val="1"/>
          <c:tx>
            <c:strRef>
              <c:f>'[Dati VE elaborati.xlsx]Export'!$E$231</c:f>
              <c:strCache>
                <c:ptCount val="1"/>
                <c:pt idx="0">
                  <c:v>altro</c:v>
                </c:pt>
              </c:strCache>
            </c:strRef>
          </c:tx>
          <c:spPr>
            <a:solidFill>
              <a:schemeClr val="accent2"/>
            </a:solidFill>
            <a:ln>
              <a:noFill/>
            </a:ln>
            <a:effectLst/>
          </c:spPr>
          <c:invertIfNegative val="0"/>
          <c:cat>
            <c:strRef>
              <c:f>'[Dati VE elaborati.xlsx]Export'!$C$232:$C$241</c:f>
              <c:strCache>
                <c:ptCount val="10"/>
                <c:pt idx="0">
                  <c:v>Paesi Bassi (Olanda)</c:v>
                </c:pt>
                <c:pt idx="1">
                  <c:v>Svizzera</c:v>
                </c:pt>
                <c:pt idx="2">
                  <c:v>Slovenia</c:v>
                </c:pt>
                <c:pt idx="3">
                  <c:v>Romania</c:v>
                </c:pt>
                <c:pt idx="4">
                  <c:v>Spagna</c:v>
                </c:pt>
                <c:pt idx="5">
                  <c:v>Austria</c:v>
                </c:pt>
                <c:pt idx="6">
                  <c:v>Regno Unito</c:v>
                </c:pt>
                <c:pt idx="7">
                  <c:v>Stati Uniti d'America</c:v>
                </c:pt>
                <c:pt idx="8">
                  <c:v>Francia</c:v>
                </c:pt>
                <c:pt idx="9">
                  <c:v>Germania</c:v>
                </c:pt>
              </c:strCache>
            </c:strRef>
          </c:cat>
          <c:val>
            <c:numRef>
              <c:f>'[Dati VE elaborati.xlsx]Export'!$E$232:$E$241</c:f>
              <c:numCache>
                <c:formatCode>0.0</c:formatCode>
                <c:ptCount val="10"/>
                <c:pt idx="0">
                  <c:v>2.7853181181185924</c:v>
                </c:pt>
                <c:pt idx="1">
                  <c:v>2.471378324076098</c:v>
                </c:pt>
                <c:pt idx="2">
                  <c:v>3.1955755136527979</c:v>
                </c:pt>
                <c:pt idx="3">
                  <c:v>3.1956694367316594</c:v>
                </c:pt>
                <c:pt idx="4">
                  <c:v>5.0673671180388746</c:v>
                </c:pt>
                <c:pt idx="5">
                  <c:v>1.4445067507279781</c:v>
                </c:pt>
                <c:pt idx="6">
                  <c:v>5.5106012368155719</c:v>
                </c:pt>
                <c:pt idx="7">
                  <c:v>14.71230791233104</c:v>
                </c:pt>
                <c:pt idx="8">
                  <c:v>20.1029480466918</c:v>
                </c:pt>
                <c:pt idx="9">
                  <c:v>16.084013346869369</c:v>
                </c:pt>
              </c:numCache>
            </c:numRef>
          </c:val>
          <c:extLst>
            <c:ext xmlns:c16="http://schemas.microsoft.com/office/drawing/2014/chart" uri="{C3380CC4-5D6E-409C-BE32-E72D297353CC}">
              <c16:uniqueId val="{00000001-8495-4071-BDB1-C3B3DB39A8C4}"/>
            </c:ext>
          </c:extLst>
        </c:ser>
        <c:dLbls>
          <c:showLegendKey val="0"/>
          <c:showVal val="0"/>
          <c:showCatName val="0"/>
          <c:showSerName val="0"/>
          <c:showPercent val="0"/>
          <c:showBubbleSize val="0"/>
        </c:dLbls>
        <c:gapWidth val="182"/>
        <c:axId val="618838752"/>
        <c:axId val="785240016"/>
      </c:barChart>
      <c:catAx>
        <c:axId val="61883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85240016"/>
        <c:crosses val="autoZero"/>
        <c:auto val="1"/>
        <c:lblAlgn val="ctr"/>
        <c:lblOffset val="100"/>
        <c:noMultiLvlLbl val="0"/>
      </c:catAx>
      <c:valAx>
        <c:axId val="785240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883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'[Dati VE elaborati.xlsx]Export'!$J$231</c:f>
              <c:strCache>
                <c:ptCount val="1"/>
                <c:pt idx="0">
                  <c:v>Metalmeccanico</c:v>
                </c:pt>
              </c:strCache>
            </c:strRef>
          </c:tx>
          <c:spPr>
            <a:solidFill>
              <a:schemeClr val="accent1"/>
            </a:solidFill>
            <a:ln>
              <a:noFill/>
            </a:ln>
            <a:effectLst/>
          </c:spPr>
          <c:invertIfNegative val="0"/>
          <c:cat>
            <c:strRef>
              <c:f>'[Dati VE elaborati.xlsx]Export'!$I$232:$I$241</c:f>
              <c:strCache>
                <c:ptCount val="10"/>
                <c:pt idx="0">
                  <c:v>Paesi Bassi (Olanda)</c:v>
                </c:pt>
                <c:pt idx="1">
                  <c:v>Croazia</c:v>
                </c:pt>
                <c:pt idx="2">
                  <c:v>Romania</c:v>
                </c:pt>
                <c:pt idx="3">
                  <c:v>Svizzera</c:v>
                </c:pt>
                <c:pt idx="4">
                  <c:v>Austria</c:v>
                </c:pt>
                <c:pt idx="5">
                  <c:v>Spagna</c:v>
                </c:pt>
                <c:pt idx="6">
                  <c:v>Regno Unito</c:v>
                </c:pt>
                <c:pt idx="7">
                  <c:v>Stati Uniti d'America</c:v>
                </c:pt>
                <c:pt idx="8">
                  <c:v>Francia</c:v>
                </c:pt>
                <c:pt idx="9">
                  <c:v>Germania</c:v>
                </c:pt>
              </c:strCache>
            </c:strRef>
          </c:cat>
          <c:val>
            <c:numRef>
              <c:f>'[Dati VE elaborati.xlsx]Export'!$J$232:$J$241</c:f>
              <c:numCache>
                <c:formatCode>General</c:formatCode>
                <c:ptCount val="10"/>
                <c:pt idx="0">
                  <c:v>3.1901963124453583</c:v>
                </c:pt>
                <c:pt idx="1">
                  <c:v>1.6392595464912003</c:v>
                </c:pt>
                <c:pt idx="2">
                  <c:v>4.2524208964081671</c:v>
                </c:pt>
                <c:pt idx="3">
                  <c:v>4.3763225949860756</c:v>
                </c:pt>
                <c:pt idx="4">
                  <c:v>5.5413597572943667</c:v>
                </c:pt>
                <c:pt idx="5">
                  <c:v>6.2222234725848926</c:v>
                </c:pt>
                <c:pt idx="6">
                  <c:v>5.6510826666149407</c:v>
                </c:pt>
                <c:pt idx="7">
                  <c:v>6.5409621290609348</c:v>
                </c:pt>
                <c:pt idx="8">
                  <c:v>11.763672427804437</c:v>
                </c:pt>
                <c:pt idx="9">
                  <c:v>17.572281783619704</c:v>
                </c:pt>
              </c:numCache>
            </c:numRef>
          </c:val>
          <c:extLst>
            <c:ext xmlns:c16="http://schemas.microsoft.com/office/drawing/2014/chart" uri="{C3380CC4-5D6E-409C-BE32-E72D297353CC}">
              <c16:uniqueId val="{00000000-94CD-4E6A-896C-AC32AF94EE96}"/>
            </c:ext>
          </c:extLst>
        </c:ser>
        <c:ser>
          <c:idx val="1"/>
          <c:order val="1"/>
          <c:tx>
            <c:strRef>
              <c:f>'[Dati VE elaborati.xlsx]Export'!$K$231</c:f>
              <c:strCache>
                <c:ptCount val="1"/>
                <c:pt idx="0">
                  <c:v>altro</c:v>
                </c:pt>
              </c:strCache>
            </c:strRef>
          </c:tx>
          <c:spPr>
            <a:solidFill>
              <a:schemeClr val="accent2"/>
            </a:solidFill>
            <a:ln>
              <a:noFill/>
            </a:ln>
            <a:effectLst/>
          </c:spPr>
          <c:invertIfNegative val="0"/>
          <c:cat>
            <c:strRef>
              <c:f>'[Dati VE elaborati.xlsx]Export'!$I$232:$I$241</c:f>
              <c:strCache>
                <c:ptCount val="10"/>
                <c:pt idx="0">
                  <c:v>Paesi Bassi (Olanda)</c:v>
                </c:pt>
                <c:pt idx="1">
                  <c:v>Croazia</c:v>
                </c:pt>
                <c:pt idx="2">
                  <c:v>Romania</c:v>
                </c:pt>
                <c:pt idx="3">
                  <c:v>Svizzera</c:v>
                </c:pt>
                <c:pt idx="4">
                  <c:v>Austria</c:v>
                </c:pt>
                <c:pt idx="5">
                  <c:v>Spagna</c:v>
                </c:pt>
                <c:pt idx="6">
                  <c:v>Regno Unito</c:v>
                </c:pt>
                <c:pt idx="7">
                  <c:v>Stati Uniti d'America</c:v>
                </c:pt>
                <c:pt idx="8">
                  <c:v>Francia</c:v>
                </c:pt>
                <c:pt idx="9">
                  <c:v>Germania</c:v>
                </c:pt>
              </c:strCache>
            </c:strRef>
          </c:cat>
          <c:val>
            <c:numRef>
              <c:f>'[Dati VE elaborati.xlsx]Export'!$K$232:$K$241</c:f>
              <c:numCache>
                <c:formatCode>General</c:formatCode>
                <c:ptCount val="10"/>
                <c:pt idx="0">
                  <c:v>2.1846650282565601</c:v>
                </c:pt>
                <c:pt idx="1">
                  <c:v>3.5546941787911943</c:v>
                </c:pt>
                <c:pt idx="2">
                  <c:v>1.5114006985989545</c:v>
                </c:pt>
                <c:pt idx="3">
                  <c:v>2.8380477618840012</c:v>
                </c:pt>
                <c:pt idx="4">
                  <c:v>2.8807455195184275</c:v>
                </c:pt>
                <c:pt idx="5">
                  <c:v>3.3637326593946604</c:v>
                </c:pt>
                <c:pt idx="6">
                  <c:v>7.3670290660432247</c:v>
                </c:pt>
                <c:pt idx="7">
                  <c:v>10.29040900896676</c:v>
                </c:pt>
                <c:pt idx="8">
                  <c:v>14.710181701882982</c:v>
                </c:pt>
                <c:pt idx="9">
                  <c:v>18.330289669641314</c:v>
                </c:pt>
              </c:numCache>
            </c:numRef>
          </c:val>
          <c:extLst>
            <c:ext xmlns:c16="http://schemas.microsoft.com/office/drawing/2014/chart" uri="{C3380CC4-5D6E-409C-BE32-E72D297353CC}">
              <c16:uniqueId val="{00000001-94CD-4E6A-896C-AC32AF94EE96}"/>
            </c:ext>
          </c:extLst>
        </c:ser>
        <c:dLbls>
          <c:showLegendKey val="0"/>
          <c:showVal val="0"/>
          <c:showCatName val="0"/>
          <c:showSerName val="0"/>
          <c:showPercent val="0"/>
          <c:showBubbleSize val="0"/>
        </c:dLbls>
        <c:gapWidth val="182"/>
        <c:axId val="868597888"/>
        <c:axId val="678824000"/>
      </c:barChart>
      <c:catAx>
        <c:axId val="86859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78824000"/>
        <c:crosses val="autoZero"/>
        <c:auto val="1"/>
        <c:lblAlgn val="ctr"/>
        <c:lblOffset val="100"/>
        <c:noMultiLvlLbl val="0"/>
      </c:catAx>
      <c:valAx>
        <c:axId val="678824000"/>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86859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 X'!$F$4:$F$15</cx:f>
        <cx:lvl ptCount="12">
          <cx:pt idx="0">Meccanica strumentale; 15,1; +14,3%</cx:pt>
          <cx:pt idx="1">Tessile e abbigliamento; 12,2; +11,5%</cx:pt>
          <cx:pt idx="2">Altra manifattura; 11,7; +16,9%</cx:pt>
          <cx:pt idx="3">Prodotti in metallo; 9,7; +21,3%</cx:pt>
          <cx:pt idx="4">Alimentari e bevande; 8,0; +15,4%</cx:pt>
          <cx:pt idx="5">Apparecchi elettrici; 6,5; +11,9%</cx:pt>
          <cx:pt idx="6">Gomma e plastica; 5,2; +12,1%</cx:pt>
          <cx:pt idx="7">Prodotti chimici; 3,1; +16,3%</cx:pt>
          <cx:pt idx="8">Mezzi di trasporto; 3,1; +19,1%</cx:pt>
          <cx:pt idx="9">Legno, carta e stampa; 2,4; +24,7%</cx:pt>
          <cx:pt idx="10">Apparecchi elettronici; 1,5; +13,5%</cx:pt>
          <cx:pt idx="11">Altro; 3,8; +33,4%</cx:pt>
        </cx:lvl>
      </cx:strDim>
      <cx:numDim type="size">
        <cx:f>'Grafico X'!$G$4:$G$15</cx:f>
        <cx:lvl ptCount="12" formatCode="_-* #.##0,0_-;\-* #.##0,0_-;_-* &quot;-&quot;??_-;_-@_-">
          <cx:pt idx="0">15.113373291</cx:pt>
          <cx:pt idx="1">12.176466833999999</cx:pt>
          <cx:pt idx="2">11.68526937</cx:pt>
          <cx:pt idx="3">9.66508769</cx:pt>
          <cx:pt idx="4">7.9799379699999999</cx:pt>
          <cx:pt idx="5">6.5424788149999999</cx:pt>
          <cx:pt idx="6">5.1652827510000003</cx:pt>
          <cx:pt idx="7">3.096659324</cx:pt>
          <cx:pt idx="8">3.0639628650000001</cx:pt>
          <cx:pt idx="9">2.3520184350000002</cx:pt>
          <cx:pt idx="10">1.5092215330000001</cx:pt>
          <cx:pt idx="11">3.8438939059999999</cx:pt>
        </cx:lvl>
      </cx:numDim>
    </cx:data>
  </cx:chartData>
  <cx:chart>
    <cx:plotArea>
      <cx:plotAreaRegion>
        <cx:series layoutId="treemap" uniqueId="{9F8EFA08-50B0-43C0-B4E0-7D5D305FF1A0}">
          <cx:dataLabels pos="inEnd">
            <cx:txPr>
              <a:bodyPr vertOverflow="overflow" horzOverflow="overflow" wrap="square" lIns="0" tIns="0" rIns="0" bIns="0"/>
              <a:lstStyle/>
              <a:p>
                <a:pPr algn="ctr" rtl="0">
                  <a:defRPr sz="700" b="0" i="0">
                    <a:solidFill>
                      <a:srgbClr val="FFFFFF"/>
                    </a:solidFill>
                    <a:latin typeface="Calibri" panose="020F0502020204030204" pitchFamily="34" charset="0"/>
                    <a:ea typeface="Calibri" panose="020F0502020204030204" pitchFamily="34" charset="0"/>
                    <a:cs typeface="Calibri" panose="020F0502020204030204" pitchFamily="34" charset="0"/>
                  </a:defRPr>
                </a:pPr>
                <a:endParaRPr lang="it-IT" sz="700"/>
              </a:p>
            </cx:txPr>
            <cx:visibility seriesName="0" categoryName="1" value="0"/>
          </cx:dataLabels>
          <cx:dataId val="0"/>
          <cx:layoutPr>
            <cx:parentLabelLayout val="overlapping"/>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E903-F28B-48AA-B4A3-F16434B7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43</Pages>
  <Words>11250</Words>
  <Characters>64127</Characters>
  <Application>Microsoft Office Word</Application>
  <DocSecurity>0</DocSecurity>
  <Lines>534</Lines>
  <Paragraphs>150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75227</CharactersWithSpaces>
  <SharedDoc>false</SharedDoc>
  <HLinks>
    <vt:vector size="72" baseType="variant">
      <vt:variant>
        <vt:i4>1507382</vt:i4>
      </vt:variant>
      <vt:variant>
        <vt:i4>68</vt:i4>
      </vt:variant>
      <vt:variant>
        <vt:i4>0</vt:i4>
      </vt:variant>
      <vt:variant>
        <vt:i4>5</vt:i4>
      </vt:variant>
      <vt:variant>
        <vt:lpwstr/>
      </vt:variant>
      <vt:variant>
        <vt:lpwstr>_Toc156488993</vt:lpwstr>
      </vt:variant>
      <vt:variant>
        <vt:i4>1507382</vt:i4>
      </vt:variant>
      <vt:variant>
        <vt:i4>62</vt:i4>
      </vt:variant>
      <vt:variant>
        <vt:i4>0</vt:i4>
      </vt:variant>
      <vt:variant>
        <vt:i4>5</vt:i4>
      </vt:variant>
      <vt:variant>
        <vt:lpwstr/>
      </vt:variant>
      <vt:variant>
        <vt:lpwstr>_Toc156488992</vt:lpwstr>
      </vt:variant>
      <vt:variant>
        <vt:i4>1507382</vt:i4>
      </vt:variant>
      <vt:variant>
        <vt:i4>56</vt:i4>
      </vt:variant>
      <vt:variant>
        <vt:i4>0</vt:i4>
      </vt:variant>
      <vt:variant>
        <vt:i4>5</vt:i4>
      </vt:variant>
      <vt:variant>
        <vt:lpwstr/>
      </vt:variant>
      <vt:variant>
        <vt:lpwstr>_Toc156488991</vt:lpwstr>
      </vt:variant>
      <vt:variant>
        <vt:i4>1507382</vt:i4>
      </vt:variant>
      <vt:variant>
        <vt:i4>50</vt:i4>
      </vt:variant>
      <vt:variant>
        <vt:i4>0</vt:i4>
      </vt:variant>
      <vt:variant>
        <vt:i4>5</vt:i4>
      </vt:variant>
      <vt:variant>
        <vt:lpwstr/>
      </vt:variant>
      <vt:variant>
        <vt:lpwstr>_Toc156488990</vt:lpwstr>
      </vt:variant>
      <vt:variant>
        <vt:i4>1441846</vt:i4>
      </vt:variant>
      <vt:variant>
        <vt:i4>44</vt:i4>
      </vt:variant>
      <vt:variant>
        <vt:i4>0</vt:i4>
      </vt:variant>
      <vt:variant>
        <vt:i4>5</vt:i4>
      </vt:variant>
      <vt:variant>
        <vt:lpwstr/>
      </vt:variant>
      <vt:variant>
        <vt:lpwstr>_Toc156488989</vt:lpwstr>
      </vt:variant>
      <vt:variant>
        <vt:i4>1441846</vt:i4>
      </vt:variant>
      <vt:variant>
        <vt:i4>38</vt:i4>
      </vt:variant>
      <vt:variant>
        <vt:i4>0</vt:i4>
      </vt:variant>
      <vt:variant>
        <vt:i4>5</vt:i4>
      </vt:variant>
      <vt:variant>
        <vt:lpwstr/>
      </vt:variant>
      <vt:variant>
        <vt:lpwstr>_Toc156488988</vt:lpwstr>
      </vt:variant>
      <vt:variant>
        <vt:i4>1441846</vt:i4>
      </vt:variant>
      <vt:variant>
        <vt:i4>32</vt:i4>
      </vt:variant>
      <vt:variant>
        <vt:i4>0</vt:i4>
      </vt:variant>
      <vt:variant>
        <vt:i4>5</vt:i4>
      </vt:variant>
      <vt:variant>
        <vt:lpwstr/>
      </vt:variant>
      <vt:variant>
        <vt:lpwstr>_Toc156488987</vt:lpwstr>
      </vt:variant>
      <vt:variant>
        <vt:i4>1441846</vt:i4>
      </vt:variant>
      <vt:variant>
        <vt:i4>26</vt:i4>
      </vt:variant>
      <vt:variant>
        <vt:i4>0</vt:i4>
      </vt:variant>
      <vt:variant>
        <vt:i4>5</vt:i4>
      </vt:variant>
      <vt:variant>
        <vt:lpwstr/>
      </vt:variant>
      <vt:variant>
        <vt:lpwstr>_Toc156488986</vt:lpwstr>
      </vt:variant>
      <vt:variant>
        <vt:i4>1441846</vt:i4>
      </vt:variant>
      <vt:variant>
        <vt:i4>20</vt:i4>
      </vt:variant>
      <vt:variant>
        <vt:i4>0</vt:i4>
      </vt:variant>
      <vt:variant>
        <vt:i4>5</vt:i4>
      </vt:variant>
      <vt:variant>
        <vt:lpwstr/>
      </vt:variant>
      <vt:variant>
        <vt:lpwstr>_Toc156488985</vt:lpwstr>
      </vt:variant>
      <vt:variant>
        <vt:i4>1441846</vt:i4>
      </vt:variant>
      <vt:variant>
        <vt:i4>14</vt:i4>
      </vt:variant>
      <vt:variant>
        <vt:i4>0</vt:i4>
      </vt:variant>
      <vt:variant>
        <vt:i4>5</vt:i4>
      </vt:variant>
      <vt:variant>
        <vt:lpwstr/>
      </vt:variant>
      <vt:variant>
        <vt:lpwstr>_Toc156488984</vt:lpwstr>
      </vt:variant>
      <vt:variant>
        <vt:i4>1441846</vt:i4>
      </vt:variant>
      <vt:variant>
        <vt:i4>8</vt:i4>
      </vt:variant>
      <vt:variant>
        <vt:i4>0</vt:i4>
      </vt:variant>
      <vt:variant>
        <vt:i4>5</vt:i4>
      </vt:variant>
      <vt:variant>
        <vt:lpwstr/>
      </vt:variant>
      <vt:variant>
        <vt:lpwstr>_Toc156488983</vt:lpwstr>
      </vt:variant>
      <vt:variant>
        <vt:i4>1441846</vt:i4>
      </vt:variant>
      <vt:variant>
        <vt:i4>2</vt:i4>
      </vt:variant>
      <vt:variant>
        <vt:i4>0</vt:i4>
      </vt:variant>
      <vt:variant>
        <vt:i4>5</vt:i4>
      </vt:variant>
      <vt:variant>
        <vt:lpwstr/>
      </vt:variant>
      <vt:variant>
        <vt:lpwstr>_Toc156488982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Toschi</dc:creator>
  <cp:keywords/>
  <dc:description/>
  <cp:lastModifiedBy>Sandro Sanseverinati</cp:lastModifiedBy>
  <cp:revision>4</cp:revision>
  <cp:lastPrinted>2024-01-31T15:27:00Z</cp:lastPrinted>
  <dcterms:created xsi:type="dcterms:W3CDTF">2024-01-30T15:47:00Z</dcterms:created>
  <dcterms:modified xsi:type="dcterms:W3CDTF">2024-01-31T15:27:00Z</dcterms:modified>
</cp:coreProperties>
</file>